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减重</w:t>
      </w:r>
      <w:r>
        <w:rPr>
          <w:rFonts w:hint="eastAsia"/>
          <w:b/>
          <w:bCs/>
          <w:sz w:val="24"/>
          <w:szCs w:val="24"/>
        </w:rPr>
        <w:t>专病治疗生活方式干预管理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2 月 1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减重</w:t>
            </w:r>
            <w:r>
              <w:rPr>
                <w:rFonts w:hint="eastAsia"/>
                <w:sz w:val="18"/>
                <w:szCs w:val="18"/>
              </w:rPr>
              <w:t>专病治疗生活方式干预管理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指由需方自愿要求，专业人员组成疾病管理团队，对有需要通过治疗性生活方式进行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干预</w:t>
            </w:r>
            <w:r>
              <w:rPr>
                <w:rFonts w:hint="eastAsia"/>
                <w:sz w:val="18"/>
                <w:szCs w:val="18"/>
              </w:rPr>
              <w:t>的患者人群进行综合性强化管理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为患者提供个性化的运动和饮食方案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并监督、跟踪、指导患者生活方式改进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督促患者养成健康的生活习惯，并提供定期上门服务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疗程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157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42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以1个月为一个疗程</w:t>
            </w:r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减重</w:t>
            </w:r>
            <w:r>
              <w:rPr>
                <w:rFonts w:hint="eastAsia"/>
                <w:sz w:val="18"/>
                <w:szCs w:val="18"/>
              </w:rPr>
              <w:t>专病治疗生活方式干预管理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2月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指由需方自愿要求，专业人员组成疾病管理团队，对有需要通过治疗性生活方式进行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干预</w:t>
            </w:r>
            <w:r>
              <w:rPr>
                <w:rFonts w:hint="eastAsia"/>
                <w:sz w:val="18"/>
                <w:szCs w:val="18"/>
              </w:rPr>
              <w:t>的患者人群进行综合性强化管理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为患者提供个性化的运动和饮食方案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并监督、跟踪、指导患者生活方式改进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督促患者养成健康的生活习惯，并提供定期上门服务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疗程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2616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46E">
            <w:pP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以2个月为一个疗程</w:t>
            </w:r>
          </w:p>
        </w:tc>
      </w:tr>
      <w:tr w14:paraId="38EA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2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2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减重</w:t>
            </w:r>
            <w:r>
              <w:rPr>
                <w:rFonts w:hint="eastAsia"/>
                <w:sz w:val="18"/>
                <w:szCs w:val="18"/>
              </w:rPr>
              <w:t>专病治疗生活方式干预管理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续诊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指由需方自愿要求，专业人员组成疾病管理团队，对有需要通过治疗性生活方式进行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干预</w:t>
            </w:r>
            <w:r>
              <w:rPr>
                <w:rFonts w:hint="eastAsia"/>
                <w:sz w:val="18"/>
                <w:szCs w:val="18"/>
              </w:rPr>
              <w:t>的患者人群进行综合性强化管理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为患者提供个性化的运动和饮食方案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并监督、跟踪、指导患者生活方式改进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督促患者养成健康的生活习惯，并提供定期上门服务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疗程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A42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574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个月为一个疗程</w:t>
            </w: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2 月 1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7157E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 2 月 1 日</w:t>
      </w:r>
    </w:p>
    <w:p w14:paraId="5BD7EEC4"/>
    <w:p w14:paraId="0260F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9B700FC"/>
    <w:rsid w:val="39995643"/>
    <w:rsid w:val="3E4E4135"/>
    <w:rsid w:val="441F6271"/>
    <w:rsid w:val="444002C4"/>
    <w:rsid w:val="490E52CC"/>
    <w:rsid w:val="4EED7419"/>
    <w:rsid w:val="55372394"/>
    <w:rsid w:val="6AFF69A5"/>
    <w:rsid w:val="6EB57842"/>
    <w:rsid w:val="75A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706</Characters>
  <Lines>0</Lines>
  <Paragraphs>0</Paragraphs>
  <TotalTime>16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2025-03-18T00:29:38Z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