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9A6D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仿宋" w:hAnsi="仿宋" w:eastAsia="仿宋" w:cs="仿宋"/>
          <w:b/>
          <w:bCs/>
          <w:i w:val="0"/>
          <w:iCs w:val="0"/>
          <w:caps w:val="0"/>
          <w:color w:val="171A1D"/>
          <w:spacing w:val="0"/>
          <w:sz w:val="28"/>
          <w:szCs w:val="28"/>
          <w:shd w:val="clear" w:fill="FFFFFF"/>
          <w:lang w:val="en-US" w:eastAsia="zh-CN"/>
        </w:rPr>
      </w:pPr>
      <w:r>
        <w:rPr>
          <w:rFonts w:hint="eastAsia" w:ascii="仿宋" w:hAnsi="仿宋" w:eastAsia="仿宋" w:cs="仿宋"/>
          <w:b/>
          <w:bCs/>
          <w:sz w:val="28"/>
          <w:szCs w:val="28"/>
        </w:rPr>
        <w:t>绍兴市上虞区丰惠镇中心卫生</w:t>
      </w:r>
      <w:r>
        <w:rPr>
          <w:rFonts w:hint="eastAsia" w:ascii="仿宋" w:hAnsi="仿宋" w:eastAsia="仿宋" w:cs="仿宋"/>
          <w:b/>
          <w:bCs/>
          <w:sz w:val="28"/>
          <w:szCs w:val="28"/>
          <w:lang w:val="en-US" w:eastAsia="zh-CN"/>
        </w:rPr>
        <w:t>新增监控摄像头及窗口增加监控存储的</w:t>
      </w:r>
      <w:r>
        <w:rPr>
          <w:rFonts w:hint="eastAsia" w:ascii="仿宋" w:hAnsi="仿宋" w:eastAsia="仿宋" w:cs="仿宋"/>
          <w:b/>
          <w:bCs/>
          <w:i w:val="0"/>
          <w:iCs w:val="0"/>
          <w:caps w:val="0"/>
          <w:color w:val="171A1D"/>
          <w:spacing w:val="0"/>
          <w:sz w:val="28"/>
          <w:szCs w:val="28"/>
          <w:shd w:val="clear" w:fill="FFFFFF"/>
        </w:rPr>
        <w:t>线下询价确定拟采购意向单位</w:t>
      </w:r>
    </w:p>
    <w:p w14:paraId="107EB4E8">
      <w:pPr>
        <w:widowControl/>
        <w:spacing w:line="360" w:lineRule="auto"/>
        <w:jc w:val="center"/>
        <w:rPr>
          <w:rFonts w:hint="eastAsia" w:ascii="方正小标宋_GBK" w:hAnsi="宋体" w:eastAsia="方正小标宋_GBK" w:cs="宋体"/>
          <w:kern w:val="0"/>
          <w:sz w:val="36"/>
          <w:szCs w:val="36"/>
          <w:lang w:bidi="ar"/>
        </w:rPr>
      </w:pPr>
      <w:bookmarkStart w:id="0" w:name="_GoBack"/>
      <w:bookmarkEnd w:id="0"/>
    </w:p>
    <w:p w14:paraId="01E3EA5E">
      <w:pPr>
        <w:widowControl/>
        <w:spacing w:line="360" w:lineRule="auto"/>
        <w:ind w:firstLine="560" w:firstLineChars="200"/>
        <w:rPr>
          <w:rFonts w:hint="eastAsia" w:ascii="仿宋_GB2312" w:hAnsi="仿宋" w:eastAsia="仿宋_GB2312" w:cs="仿宋"/>
          <w:kern w:val="0"/>
          <w:sz w:val="28"/>
          <w:szCs w:val="28"/>
          <w:lang w:bidi="ar"/>
        </w:rPr>
      </w:pPr>
    </w:p>
    <w:p w14:paraId="7A12AF21">
      <w:pPr>
        <w:widowControl/>
        <w:spacing w:line="360" w:lineRule="auto"/>
        <w:rPr>
          <w:rFonts w:hint="eastAsia" w:ascii="仿宋_GB2312" w:hAnsi="仿宋" w:eastAsia="仿宋_GB2312" w:cs="仿宋"/>
          <w:b/>
          <w:bCs/>
          <w:kern w:val="0"/>
          <w:sz w:val="28"/>
          <w:szCs w:val="28"/>
          <w:lang w:bidi="ar"/>
        </w:rPr>
      </w:pPr>
      <w:r>
        <w:rPr>
          <w:rFonts w:hint="eastAsia" w:ascii="仿宋_GB2312" w:hAnsi="仿宋" w:eastAsia="仿宋_GB2312" w:cs="仿宋"/>
          <w:b/>
          <w:bCs/>
          <w:kern w:val="0"/>
          <w:sz w:val="28"/>
          <w:szCs w:val="28"/>
          <w:lang w:bidi="ar"/>
        </w:rPr>
        <w:t>一、项目概况</w:t>
      </w:r>
    </w:p>
    <w:p w14:paraId="0814F8AE">
      <w:pPr>
        <w:widowControl/>
        <w:spacing w:line="360" w:lineRule="auto"/>
        <w:rPr>
          <w:rFonts w:hint="eastAsia" w:ascii="仿宋_GB2312" w:hAnsi="仿宋" w:eastAsia="仿宋_GB2312" w:cs="仿宋"/>
          <w:kern w:val="0"/>
          <w:sz w:val="28"/>
          <w:szCs w:val="28"/>
          <w:lang w:bidi="ar"/>
        </w:rPr>
      </w:pPr>
      <w:r>
        <w:rPr>
          <w:rFonts w:hint="eastAsia" w:ascii="仿宋_GB2312" w:hAnsi="仿宋" w:eastAsia="仿宋_GB2312" w:cs="仿宋"/>
          <w:kern w:val="0"/>
          <w:sz w:val="28"/>
          <w:szCs w:val="28"/>
          <w:lang w:bidi="ar"/>
        </w:rPr>
        <w:t>项目名称：</w:t>
      </w:r>
      <w:r>
        <w:rPr>
          <w:rFonts w:hint="eastAsia" w:ascii="仿宋_GB2312" w:hAnsi="仿宋" w:eastAsia="仿宋_GB2312" w:cs="仿宋"/>
          <w:kern w:val="0"/>
          <w:sz w:val="28"/>
          <w:szCs w:val="28"/>
          <w:lang w:val="en-US" w:eastAsia="zh-CN" w:bidi="ar"/>
        </w:rPr>
        <w:t>丰惠镇中心卫生院新增监控摄像头及窗口增加监控存储设备采购</w:t>
      </w:r>
      <w:r>
        <w:rPr>
          <w:rFonts w:hint="eastAsia" w:ascii="仿宋_GB2312" w:hAnsi="仿宋" w:eastAsia="仿宋_GB2312" w:cs="仿宋"/>
          <w:kern w:val="0"/>
          <w:sz w:val="28"/>
          <w:szCs w:val="28"/>
          <w:lang w:bidi="ar"/>
        </w:rPr>
        <w:t>项目。</w:t>
      </w:r>
    </w:p>
    <w:p w14:paraId="01CECBC7">
      <w:pPr>
        <w:snapToGrid w:val="0"/>
        <w:spacing w:before="50" w:line="360" w:lineRule="auto"/>
        <w:jc w:val="left"/>
        <w:rPr>
          <w:rFonts w:hint="eastAsia" w:ascii="仿宋_GB2312" w:hAnsi="仿宋" w:eastAsia="仿宋_GB2312" w:cs="仿宋"/>
          <w:b/>
          <w:bCs/>
          <w:sz w:val="28"/>
          <w:szCs w:val="28"/>
        </w:rPr>
      </w:pPr>
      <w:r>
        <w:rPr>
          <w:rFonts w:hint="eastAsia" w:ascii="仿宋_GB2312" w:hAnsi="仿宋" w:eastAsia="仿宋_GB2312" w:cs="仿宋"/>
          <w:b/>
          <w:bCs/>
          <w:sz w:val="28"/>
          <w:szCs w:val="28"/>
        </w:rPr>
        <w:t>二、具体内容</w:t>
      </w:r>
    </w:p>
    <w:tbl>
      <w:tblPr>
        <w:tblStyle w:val="15"/>
        <w:tblW w:w="903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915"/>
        <w:gridCol w:w="3320"/>
        <w:gridCol w:w="1341"/>
        <w:gridCol w:w="1668"/>
      </w:tblGrid>
      <w:tr w14:paraId="2EBD76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0" w:type="auto"/>
            <w:tcBorders>
              <w:tl2br w:val="nil"/>
              <w:tr2bl w:val="nil"/>
            </w:tcBorders>
            <w:vAlign w:val="center"/>
          </w:tcPr>
          <w:p w14:paraId="13B53C98">
            <w:pPr>
              <w:pStyle w:val="8"/>
              <w:snapToGrid w:val="0"/>
              <w:ind w:left="0" w:leftChars="0" w:right="0" w:rightChars="0" w:firstLine="0" w:firstLineChars="0"/>
              <w:jc w:val="center"/>
              <w:outlineLvl w:val="0"/>
              <w:rPr>
                <w:rFonts w:hint="eastAsia" w:ascii="仿宋_GB2312" w:hAnsi="仿宋" w:eastAsia="仿宋_GB2312" w:cs="仿宋"/>
                <w:b/>
                <w:sz w:val="24"/>
                <w:szCs w:val="24"/>
              </w:rPr>
            </w:pPr>
            <w:r>
              <w:rPr>
                <w:rFonts w:hint="eastAsia" w:ascii="仿宋_GB2312" w:hAnsi="仿宋" w:eastAsia="仿宋_GB2312" w:cs="仿宋"/>
                <w:b/>
                <w:sz w:val="24"/>
                <w:szCs w:val="24"/>
              </w:rPr>
              <w:t>序号</w:t>
            </w:r>
          </w:p>
        </w:tc>
        <w:tc>
          <w:tcPr>
            <w:tcW w:w="1915" w:type="dxa"/>
            <w:tcBorders>
              <w:tl2br w:val="nil"/>
              <w:tr2bl w:val="nil"/>
            </w:tcBorders>
            <w:vAlign w:val="center"/>
          </w:tcPr>
          <w:p w14:paraId="6CD4CAF2">
            <w:pPr>
              <w:pStyle w:val="8"/>
              <w:snapToGrid w:val="0"/>
              <w:ind w:left="0" w:leftChars="0" w:right="0" w:rightChars="0" w:firstLine="0" w:firstLineChars="0"/>
              <w:jc w:val="center"/>
              <w:outlineLvl w:val="0"/>
              <w:rPr>
                <w:rFonts w:hint="default" w:ascii="仿宋_GB2312" w:hAnsi="仿宋" w:eastAsia="仿宋_GB2312" w:cs="仿宋"/>
                <w:b/>
                <w:sz w:val="24"/>
                <w:szCs w:val="24"/>
                <w:lang w:val="en-US" w:eastAsia="zh-CN"/>
              </w:rPr>
            </w:pPr>
            <w:r>
              <w:rPr>
                <w:rFonts w:hint="eastAsia" w:ascii="仿宋_GB2312" w:hAnsi="仿宋" w:eastAsia="仿宋_GB2312" w:cs="仿宋"/>
                <w:b/>
                <w:sz w:val="24"/>
                <w:szCs w:val="24"/>
                <w:lang w:val="en-US" w:eastAsia="zh-CN"/>
              </w:rPr>
              <w:t>商品名称</w:t>
            </w:r>
          </w:p>
        </w:tc>
        <w:tc>
          <w:tcPr>
            <w:tcW w:w="3320" w:type="dxa"/>
            <w:tcBorders>
              <w:tl2br w:val="nil"/>
              <w:tr2bl w:val="nil"/>
            </w:tcBorders>
            <w:vAlign w:val="center"/>
          </w:tcPr>
          <w:p w14:paraId="73104F63">
            <w:pPr>
              <w:pStyle w:val="8"/>
              <w:snapToGrid w:val="0"/>
              <w:ind w:left="0" w:leftChars="0" w:right="0" w:rightChars="0" w:firstLine="0" w:firstLineChars="0"/>
              <w:jc w:val="center"/>
              <w:outlineLvl w:val="0"/>
              <w:rPr>
                <w:rFonts w:hint="eastAsia" w:ascii="仿宋_GB2312" w:hAnsi="仿宋" w:eastAsia="仿宋_GB2312" w:cs="仿宋"/>
                <w:b/>
                <w:sz w:val="24"/>
                <w:szCs w:val="24"/>
              </w:rPr>
            </w:pPr>
            <w:r>
              <w:rPr>
                <w:rFonts w:hint="eastAsia" w:ascii="仿宋_GB2312" w:hAnsi="仿宋" w:eastAsia="仿宋_GB2312" w:cs="仿宋"/>
                <w:b/>
                <w:sz w:val="24"/>
                <w:szCs w:val="24"/>
              </w:rPr>
              <w:t>参数要求</w:t>
            </w:r>
          </w:p>
        </w:tc>
        <w:tc>
          <w:tcPr>
            <w:tcW w:w="0" w:type="auto"/>
            <w:tcBorders>
              <w:tl2br w:val="nil"/>
              <w:tr2bl w:val="nil"/>
            </w:tcBorders>
            <w:vAlign w:val="center"/>
          </w:tcPr>
          <w:p w14:paraId="44F16B62">
            <w:pPr>
              <w:pStyle w:val="8"/>
              <w:snapToGrid w:val="0"/>
              <w:ind w:left="0" w:leftChars="0" w:right="0" w:rightChars="0" w:firstLine="0" w:firstLineChars="0"/>
              <w:jc w:val="center"/>
              <w:outlineLvl w:val="0"/>
              <w:rPr>
                <w:rFonts w:hint="eastAsia" w:ascii="仿宋_GB2312" w:hAnsi="仿宋" w:eastAsia="仿宋_GB2312" w:cs="仿宋"/>
                <w:b/>
                <w:sz w:val="24"/>
                <w:szCs w:val="24"/>
                <w:lang w:val="en-US" w:eastAsia="zh-CN"/>
              </w:rPr>
            </w:pPr>
            <w:r>
              <w:rPr>
                <w:rFonts w:hint="eastAsia" w:ascii="仿宋_GB2312" w:hAnsi="仿宋" w:eastAsia="仿宋_GB2312" w:cs="仿宋"/>
                <w:b/>
                <w:sz w:val="24"/>
                <w:szCs w:val="24"/>
                <w:lang w:val="en-US" w:eastAsia="zh-CN"/>
              </w:rPr>
              <w:t>购买数量</w:t>
            </w:r>
          </w:p>
        </w:tc>
        <w:tc>
          <w:tcPr>
            <w:tcW w:w="1668" w:type="dxa"/>
            <w:tcBorders>
              <w:tl2br w:val="nil"/>
              <w:tr2bl w:val="nil"/>
            </w:tcBorders>
            <w:vAlign w:val="center"/>
          </w:tcPr>
          <w:p w14:paraId="71B59BE6">
            <w:pPr>
              <w:pStyle w:val="8"/>
              <w:snapToGrid w:val="0"/>
              <w:ind w:left="0" w:leftChars="0" w:right="0" w:rightChars="0" w:firstLine="0" w:firstLineChars="0"/>
              <w:jc w:val="center"/>
              <w:outlineLvl w:val="0"/>
              <w:rPr>
                <w:rFonts w:hint="default" w:ascii="仿宋_GB2312" w:hAnsi="仿宋" w:eastAsia="仿宋_GB2312" w:cs="仿宋"/>
                <w:b/>
                <w:sz w:val="24"/>
                <w:szCs w:val="24"/>
                <w:lang w:val="en-US" w:eastAsia="zh-CN"/>
              </w:rPr>
            </w:pPr>
            <w:r>
              <w:rPr>
                <w:rFonts w:hint="eastAsia" w:ascii="仿宋_GB2312" w:hAnsi="仿宋" w:eastAsia="仿宋_GB2312" w:cs="仿宋"/>
                <w:b/>
                <w:sz w:val="24"/>
                <w:szCs w:val="24"/>
                <w:lang w:val="en-US" w:eastAsia="zh-CN"/>
              </w:rPr>
              <w:t>预算金额（元）</w:t>
            </w:r>
          </w:p>
        </w:tc>
      </w:tr>
      <w:tr w14:paraId="30B28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0" w:type="auto"/>
            <w:tcBorders>
              <w:tl2br w:val="nil"/>
              <w:tr2bl w:val="nil"/>
            </w:tcBorders>
            <w:vAlign w:val="center"/>
          </w:tcPr>
          <w:p w14:paraId="1DF6CBCB">
            <w:pPr>
              <w:pStyle w:val="8"/>
              <w:snapToGrid w:val="0"/>
              <w:ind w:left="0" w:leftChars="0" w:right="0" w:rightChars="0" w:firstLine="0" w:firstLineChars="0"/>
              <w:jc w:val="center"/>
              <w:outlineLvl w:val="0"/>
              <w:rPr>
                <w:rFonts w:hint="eastAsia" w:ascii="仿宋_GB2312" w:hAnsi="仿宋" w:eastAsia="仿宋_GB2312" w:cs="仿宋"/>
                <w:sz w:val="24"/>
                <w:szCs w:val="24"/>
              </w:rPr>
            </w:pPr>
            <w:r>
              <w:rPr>
                <w:rFonts w:hint="eastAsia" w:ascii="仿宋_GB2312" w:hAnsi="仿宋" w:eastAsia="仿宋_GB2312" w:cs="仿宋"/>
                <w:sz w:val="24"/>
                <w:szCs w:val="24"/>
              </w:rPr>
              <w:t>1</w:t>
            </w:r>
          </w:p>
        </w:tc>
        <w:tc>
          <w:tcPr>
            <w:tcW w:w="1915" w:type="dxa"/>
            <w:tcBorders>
              <w:tl2br w:val="nil"/>
              <w:tr2bl w:val="nil"/>
            </w:tcBorders>
            <w:vAlign w:val="center"/>
          </w:tcPr>
          <w:p w14:paraId="22F143C5">
            <w:pPr>
              <w:pStyle w:val="8"/>
              <w:snapToGrid w:val="0"/>
              <w:ind w:left="0" w:leftChars="0" w:right="0" w:rightChars="0" w:firstLine="0" w:firstLineChars="0"/>
              <w:jc w:val="center"/>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监控摄像头</w:t>
            </w:r>
          </w:p>
        </w:tc>
        <w:tc>
          <w:tcPr>
            <w:tcW w:w="3320" w:type="dxa"/>
            <w:tcBorders>
              <w:tl2br w:val="nil"/>
              <w:tr2bl w:val="nil"/>
            </w:tcBorders>
            <w:vAlign w:val="center"/>
          </w:tcPr>
          <w:p w14:paraId="5E266FB0">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default" w:ascii="仿宋_GB2312" w:hAnsi="仿宋" w:eastAsia="仿宋_GB2312" w:cs="仿宋"/>
                <w:sz w:val="24"/>
                <w:szCs w:val="24"/>
                <w:lang w:val="en-US" w:eastAsia="zh-CN"/>
              </w:rPr>
              <w:t>200 万</w:t>
            </w:r>
            <w:r>
              <w:rPr>
                <w:rFonts w:hint="eastAsia" w:ascii="仿宋_GB2312" w:hAnsi="仿宋" w:eastAsia="仿宋_GB2312" w:cs="仿宋"/>
                <w:sz w:val="24"/>
                <w:szCs w:val="24"/>
                <w:lang w:val="en-US" w:eastAsia="zh-CN"/>
              </w:rPr>
              <w:t>像素</w:t>
            </w:r>
            <w:r>
              <w:rPr>
                <w:rFonts w:hint="default" w:ascii="仿宋_GB2312" w:hAnsi="仿宋" w:eastAsia="仿宋_GB2312" w:cs="仿宋"/>
                <w:sz w:val="24"/>
                <w:szCs w:val="24"/>
                <w:lang w:val="en-US" w:eastAsia="zh-CN"/>
              </w:rPr>
              <w:t>、PoE、红外 50m、内置麦、IP67</w:t>
            </w:r>
          </w:p>
        </w:tc>
        <w:tc>
          <w:tcPr>
            <w:tcW w:w="0" w:type="auto"/>
            <w:tcBorders>
              <w:tl2br w:val="nil"/>
              <w:tr2bl w:val="nil"/>
            </w:tcBorders>
            <w:vAlign w:val="center"/>
          </w:tcPr>
          <w:p w14:paraId="381AC678">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14个</w:t>
            </w:r>
          </w:p>
        </w:tc>
        <w:tc>
          <w:tcPr>
            <w:tcW w:w="1668" w:type="dxa"/>
            <w:tcBorders>
              <w:tl2br w:val="nil"/>
              <w:tr2bl w:val="nil"/>
            </w:tcBorders>
            <w:vAlign w:val="center"/>
          </w:tcPr>
          <w:p w14:paraId="1B2CEB8B">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3920</w:t>
            </w:r>
          </w:p>
        </w:tc>
      </w:tr>
      <w:tr w14:paraId="22B9BE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0" w:type="auto"/>
            <w:tcBorders>
              <w:tl2br w:val="nil"/>
              <w:tr2bl w:val="nil"/>
            </w:tcBorders>
            <w:vAlign w:val="center"/>
          </w:tcPr>
          <w:p w14:paraId="2270C9D1">
            <w:pPr>
              <w:pStyle w:val="8"/>
              <w:snapToGrid w:val="0"/>
              <w:ind w:left="0" w:leftChars="0" w:right="0" w:rightChars="0" w:firstLine="0" w:firstLineChars="0"/>
              <w:jc w:val="center"/>
              <w:outlineLvl w:val="0"/>
              <w:rPr>
                <w:rFonts w:hint="eastAsia" w:ascii="仿宋_GB2312" w:hAnsi="仿宋" w:eastAsia="仿宋_GB2312" w:cs="仿宋"/>
                <w:sz w:val="24"/>
                <w:szCs w:val="24"/>
              </w:rPr>
            </w:pPr>
            <w:r>
              <w:rPr>
                <w:rFonts w:hint="eastAsia" w:ascii="仿宋_GB2312" w:hAnsi="仿宋" w:eastAsia="仿宋_GB2312" w:cs="仿宋"/>
                <w:sz w:val="24"/>
                <w:szCs w:val="24"/>
              </w:rPr>
              <w:t>2</w:t>
            </w:r>
          </w:p>
        </w:tc>
        <w:tc>
          <w:tcPr>
            <w:tcW w:w="1915" w:type="dxa"/>
            <w:tcBorders>
              <w:tl2br w:val="nil"/>
              <w:tr2bl w:val="nil"/>
            </w:tcBorders>
            <w:vAlign w:val="center"/>
          </w:tcPr>
          <w:p w14:paraId="7CC9DBCE">
            <w:pPr>
              <w:pStyle w:val="8"/>
              <w:snapToGrid w:val="0"/>
              <w:ind w:left="0" w:leftChars="0" w:right="0" w:rightChars="0" w:firstLine="0" w:firstLineChars="0"/>
              <w:jc w:val="center"/>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监控存储设备</w:t>
            </w:r>
          </w:p>
        </w:tc>
        <w:tc>
          <w:tcPr>
            <w:tcW w:w="3320" w:type="dxa"/>
            <w:tcBorders>
              <w:tl2br w:val="nil"/>
              <w:tr2bl w:val="nil"/>
            </w:tcBorders>
            <w:vAlign w:val="center"/>
          </w:tcPr>
          <w:p w14:paraId="3D2C334F">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全新机械硬盘8T企业硬盘</w:t>
            </w:r>
          </w:p>
        </w:tc>
        <w:tc>
          <w:tcPr>
            <w:tcW w:w="0" w:type="auto"/>
            <w:tcBorders>
              <w:tl2br w:val="nil"/>
              <w:tr2bl w:val="nil"/>
            </w:tcBorders>
            <w:vAlign w:val="center"/>
          </w:tcPr>
          <w:p w14:paraId="49D2EE35">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14块</w:t>
            </w:r>
          </w:p>
        </w:tc>
        <w:tc>
          <w:tcPr>
            <w:tcW w:w="1668" w:type="dxa"/>
            <w:tcBorders>
              <w:tl2br w:val="nil"/>
              <w:tr2bl w:val="nil"/>
            </w:tcBorders>
            <w:vAlign w:val="center"/>
          </w:tcPr>
          <w:p w14:paraId="56F46747">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37800</w:t>
            </w:r>
          </w:p>
        </w:tc>
      </w:tr>
      <w:tr w14:paraId="5A88F8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94" w:type="dxa"/>
            <w:tcBorders>
              <w:tl2br w:val="nil"/>
              <w:tr2bl w:val="nil"/>
            </w:tcBorders>
            <w:vAlign w:val="center"/>
          </w:tcPr>
          <w:p w14:paraId="20D0C094">
            <w:pPr>
              <w:pStyle w:val="8"/>
              <w:snapToGrid w:val="0"/>
              <w:ind w:left="0" w:leftChars="0" w:right="0" w:rightChars="0" w:firstLine="0" w:firstLineChars="0"/>
              <w:jc w:val="center"/>
              <w:outlineLvl w:val="0"/>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3</w:t>
            </w:r>
          </w:p>
        </w:tc>
        <w:tc>
          <w:tcPr>
            <w:tcW w:w="1915" w:type="dxa"/>
            <w:tcBorders>
              <w:tl2br w:val="nil"/>
              <w:tr2bl w:val="nil"/>
            </w:tcBorders>
            <w:vAlign w:val="center"/>
          </w:tcPr>
          <w:p w14:paraId="372EA4D0">
            <w:pPr>
              <w:pStyle w:val="8"/>
              <w:snapToGrid w:val="0"/>
              <w:ind w:left="0" w:leftChars="0" w:right="0" w:rightChars="0" w:firstLine="0" w:firstLineChars="0"/>
              <w:jc w:val="center"/>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录像机</w:t>
            </w:r>
          </w:p>
        </w:tc>
        <w:tc>
          <w:tcPr>
            <w:tcW w:w="3320" w:type="dxa"/>
            <w:tcBorders>
              <w:tl2br w:val="nil"/>
              <w:tr2bl w:val="nil"/>
            </w:tcBorders>
            <w:vAlign w:val="center"/>
          </w:tcPr>
          <w:p w14:paraId="2A9F10DD">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32路8盘位录像机</w:t>
            </w:r>
          </w:p>
        </w:tc>
        <w:tc>
          <w:tcPr>
            <w:tcW w:w="1341" w:type="dxa"/>
            <w:tcBorders>
              <w:tl2br w:val="nil"/>
              <w:tr2bl w:val="nil"/>
            </w:tcBorders>
            <w:vAlign w:val="center"/>
          </w:tcPr>
          <w:p w14:paraId="2CFF71A6">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3个</w:t>
            </w:r>
          </w:p>
        </w:tc>
        <w:tc>
          <w:tcPr>
            <w:tcW w:w="1668" w:type="dxa"/>
            <w:tcBorders>
              <w:tl2br w:val="nil"/>
              <w:tr2bl w:val="nil"/>
            </w:tcBorders>
            <w:vAlign w:val="center"/>
          </w:tcPr>
          <w:p w14:paraId="2A216CC9">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5880</w:t>
            </w:r>
          </w:p>
        </w:tc>
      </w:tr>
      <w:tr w14:paraId="65D3E7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94" w:type="dxa"/>
            <w:tcBorders>
              <w:tl2br w:val="nil"/>
              <w:tr2bl w:val="nil"/>
            </w:tcBorders>
            <w:vAlign w:val="center"/>
          </w:tcPr>
          <w:p w14:paraId="4FDB77ED">
            <w:pPr>
              <w:pStyle w:val="8"/>
              <w:snapToGrid w:val="0"/>
              <w:ind w:left="0" w:leftChars="0" w:right="0" w:rightChars="0" w:firstLine="0" w:firstLineChars="0"/>
              <w:jc w:val="center"/>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4</w:t>
            </w:r>
          </w:p>
        </w:tc>
        <w:tc>
          <w:tcPr>
            <w:tcW w:w="1915" w:type="dxa"/>
            <w:tcBorders>
              <w:tl2br w:val="nil"/>
              <w:tr2bl w:val="nil"/>
            </w:tcBorders>
            <w:vAlign w:val="center"/>
          </w:tcPr>
          <w:p w14:paraId="6D32421A">
            <w:pPr>
              <w:pStyle w:val="8"/>
              <w:snapToGrid w:val="0"/>
              <w:ind w:left="0" w:leftChars="0" w:right="0" w:rightChars="0" w:firstLine="0" w:firstLineChars="0"/>
              <w:jc w:val="center"/>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交换机</w:t>
            </w:r>
          </w:p>
        </w:tc>
        <w:tc>
          <w:tcPr>
            <w:tcW w:w="3320" w:type="dxa"/>
            <w:tcBorders>
              <w:tl2br w:val="nil"/>
              <w:tr2bl w:val="nil"/>
            </w:tcBorders>
            <w:vAlign w:val="center"/>
          </w:tcPr>
          <w:p w14:paraId="05E05B6B">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8口、16口POE交换机</w:t>
            </w:r>
          </w:p>
        </w:tc>
        <w:tc>
          <w:tcPr>
            <w:tcW w:w="1341" w:type="dxa"/>
            <w:tcBorders>
              <w:tl2br w:val="nil"/>
              <w:tr2bl w:val="nil"/>
            </w:tcBorders>
            <w:vAlign w:val="center"/>
          </w:tcPr>
          <w:p w14:paraId="6C0D7B24">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各1个</w:t>
            </w:r>
          </w:p>
        </w:tc>
        <w:tc>
          <w:tcPr>
            <w:tcW w:w="1668" w:type="dxa"/>
            <w:tcBorders>
              <w:tl2br w:val="nil"/>
              <w:tr2bl w:val="nil"/>
            </w:tcBorders>
            <w:vAlign w:val="center"/>
          </w:tcPr>
          <w:p w14:paraId="1A46E573">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1500</w:t>
            </w:r>
          </w:p>
        </w:tc>
      </w:tr>
      <w:tr w14:paraId="4F5FB7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94" w:type="dxa"/>
            <w:tcBorders>
              <w:tl2br w:val="nil"/>
              <w:tr2bl w:val="nil"/>
            </w:tcBorders>
            <w:vAlign w:val="center"/>
          </w:tcPr>
          <w:p w14:paraId="0553BFB1">
            <w:pPr>
              <w:pStyle w:val="8"/>
              <w:snapToGrid w:val="0"/>
              <w:ind w:left="0" w:leftChars="0" w:right="0" w:rightChars="0" w:firstLine="0" w:firstLineChars="0"/>
              <w:jc w:val="center"/>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5</w:t>
            </w:r>
          </w:p>
        </w:tc>
        <w:tc>
          <w:tcPr>
            <w:tcW w:w="1915" w:type="dxa"/>
            <w:tcBorders>
              <w:tl2br w:val="nil"/>
              <w:tr2bl w:val="nil"/>
            </w:tcBorders>
            <w:vAlign w:val="center"/>
          </w:tcPr>
          <w:p w14:paraId="2F07FA07">
            <w:pPr>
              <w:pStyle w:val="8"/>
              <w:snapToGrid w:val="0"/>
              <w:ind w:left="0" w:leftChars="0" w:right="0" w:rightChars="0" w:firstLine="0" w:firstLineChars="0"/>
              <w:jc w:val="center"/>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网线</w:t>
            </w:r>
          </w:p>
        </w:tc>
        <w:tc>
          <w:tcPr>
            <w:tcW w:w="3320" w:type="dxa"/>
            <w:tcBorders>
              <w:tl2br w:val="nil"/>
              <w:tr2bl w:val="nil"/>
            </w:tcBorders>
            <w:vAlign w:val="center"/>
          </w:tcPr>
          <w:p w14:paraId="744E8D34">
            <w:pPr>
              <w:pStyle w:val="8"/>
              <w:snapToGrid w:val="0"/>
              <w:ind w:left="0" w:leftChars="0" w:right="0" w:rightChars="0" w:firstLine="0" w:firstLineChars="0"/>
              <w:jc w:val="left"/>
              <w:outlineLvl w:val="0"/>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 xml:space="preserve">0.5无氧铜网线 </w:t>
            </w:r>
          </w:p>
        </w:tc>
        <w:tc>
          <w:tcPr>
            <w:tcW w:w="1341" w:type="dxa"/>
            <w:tcBorders>
              <w:tl2br w:val="nil"/>
              <w:tr2bl w:val="nil"/>
            </w:tcBorders>
            <w:vAlign w:val="center"/>
          </w:tcPr>
          <w:p w14:paraId="379C59A6">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900米</w:t>
            </w:r>
          </w:p>
        </w:tc>
        <w:tc>
          <w:tcPr>
            <w:tcW w:w="1668" w:type="dxa"/>
            <w:tcBorders>
              <w:tl2br w:val="nil"/>
              <w:tr2bl w:val="nil"/>
            </w:tcBorders>
            <w:vAlign w:val="center"/>
          </w:tcPr>
          <w:p w14:paraId="1DDD0A2E">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900</w:t>
            </w:r>
          </w:p>
        </w:tc>
      </w:tr>
      <w:tr w14:paraId="0D07D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94" w:type="dxa"/>
            <w:tcBorders>
              <w:tl2br w:val="nil"/>
              <w:tr2bl w:val="nil"/>
            </w:tcBorders>
            <w:vAlign w:val="center"/>
          </w:tcPr>
          <w:p w14:paraId="4FC3FCAF">
            <w:pPr>
              <w:pStyle w:val="8"/>
              <w:snapToGrid w:val="0"/>
              <w:ind w:left="0" w:leftChars="0" w:right="0" w:rightChars="0" w:firstLine="0" w:firstLineChars="0"/>
              <w:jc w:val="center"/>
              <w:outlineLvl w:val="0"/>
              <w:rPr>
                <w:rFonts w:hint="eastAsia" w:ascii="仿宋_GB2312" w:hAnsi="仿宋" w:eastAsia="仿宋_GB2312" w:cs="仿宋"/>
                <w:sz w:val="24"/>
                <w:szCs w:val="24"/>
                <w:lang w:val="en-US" w:eastAsia="zh-CN"/>
              </w:rPr>
            </w:pPr>
          </w:p>
        </w:tc>
        <w:tc>
          <w:tcPr>
            <w:tcW w:w="1915" w:type="dxa"/>
            <w:tcBorders>
              <w:tl2br w:val="nil"/>
              <w:tr2bl w:val="nil"/>
            </w:tcBorders>
            <w:vAlign w:val="center"/>
          </w:tcPr>
          <w:p w14:paraId="4BE72749">
            <w:pPr>
              <w:pStyle w:val="8"/>
              <w:snapToGrid w:val="0"/>
              <w:ind w:left="0" w:leftChars="0" w:right="0" w:rightChars="0" w:firstLine="0" w:firstLineChars="0"/>
              <w:jc w:val="center"/>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合计</w:t>
            </w:r>
          </w:p>
        </w:tc>
        <w:tc>
          <w:tcPr>
            <w:tcW w:w="3320" w:type="dxa"/>
            <w:tcBorders>
              <w:tl2br w:val="nil"/>
              <w:tr2bl w:val="nil"/>
            </w:tcBorders>
            <w:vAlign w:val="center"/>
          </w:tcPr>
          <w:p w14:paraId="281FFEDC">
            <w:pPr>
              <w:pStyle w:val="8"/>
              <w:snapToGrid w:val="0"/>
              <w:ind w:left="0" w:leftChars="0" w:right="0" w:rightChars="0" w:firstLine="0" w:firstLineChars="0"/>
              <w:jc w:val="left"/>
              <w:outlineLvl w:val="0"/>
              <w:rPr>
                <w:rFonts w:hint="eastAsia" w:ascii="仿宋_GB2312" w:hAnsi="仿宋" w:eastAsia="仿宋_GB2312" w:cs="仿宋"/>
                <w:sz w:val="24"/>
                <w:szCs w:val="24"/>
                <w:lang w:val="en-US" w:eastAsia="zh-CN"/>
              </w:rPr>
            </w:pPr>
          </w:p>
        </w:tc>
        <w:tc>
          <w:tcPr>
            <w:tcW w:w="1341" w:type="dxa"/>
            <w:tcBorders>
              <w:tl2br w:val="nil"/>
              <w:tr2bl w:val="nil"/>
            </w:tcBorders>
            <w:vAlign w:val="center"/>
          </w:tcPr>
          <w:p w14:paraId="6E89ADF3">
            <w:pPr>
              <w:pStyle w:val="8"/>
              <w:snapToGrid w:val="0"/>
              <w:ind w:left="0" w:leftChars="0" w:right="0" w:rightChars="0" w:firstLine="0" w:firstLineChars="0"/>
              <w:jc w:val="left"/>
              <w:outlineLvl w:val="0"/>
              <w:rPr>
                <w:rFonts w:hint="eastAsia" w:ascii="仿宋_GB2312" w:hAnsi="仿宋" w:eastAsia="仿宋_GB2312" w:cs="仿宋"/>
                <w:sz w:val="24"/>
                <w:szCs w:val="24"/>
                <w:lang w:val="en-US" w:eastAsia="zh-CN"/>
              </w:rPr>
            </w:pPr>
          </w:p>
        </w:tc>
        <w:tc>
          <w:tcPr>
            <w:tcW w:w="1668" w:type="dxa"/>
            <w:tcBorders>
              <w:tl2br w:val="nil"/>
              <w:tr2bl w:val="nil"/>
            </w:tcBorders>
            <w:vAlign w:val="center"/>
          </w:tcPr>
          <w:p w14:paraId="388B13BF">
            <w:pPr>
              <w:pStyle w:val="8"/>
              <w:snapToGrid w:val="0"/>
              <w:ind w:left="0" w:leftChars="0" w:right="0" w:rightChars="0" w:firstLine="0" w:firstLineChars="0"/>
              <w:jc w:val="left"/>
              <w:outlineLvl w:val="0"/>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50000元</w:t>
            </w:r>
          </w:p>
        </w:tc>
      </w:tr>
    </w:tbl>
    <w:p w14:paraId="2EB8C9AF">
      <w:pPr>
        <w:numPr>
          <w:ilvl w:val="0"/>
          <w:numId w:val="0"/>
        </w:numPr>
        <w:spacing w:before="120" w:after="120"/>
        <w:outlineLvl w:val="0"/>
        <w:rPr>
          <w:rFonts w:hint="eastAsia" w:ascii="宋体" w:hAnsi="宋体" w:cs="宋体"/>
          <w:b/>
          <w:bCs/>
          <w:sz w:val="28"/>
          <w:szCs w:val="28"/>
          <w:lang w:val="en-US" w:eastAsia="zh-CN"/>
        </w:rPr>
      </w:pPr>
      <w:r>
        <w:rPr>
          <w:rFonts w:hint="eastAsia" w:ascii="宋体" w:hAnsi="宋体" w:cs="宋体"/>
          <w:b/>
          <w:bCs/>
          <w:sz w:val="28"/>
          <w:szCs w:val="28"/>
          <w:lang w:val="en-US" w:eastAsia="zh-CN"/>
        </w:rPr>
        <w:t>三、技术要求</w:t>
      </w:r>
    </w:p>
    <w:tbl>
      <w:tblPr>
        <w:tblStyle w:val="16"/>
        <w:tblW w:w="5599" w:type="pct"/>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117"/>
        <w:gridCol w:w="6192"/>
      </w:tblGrid>
      <w:tr w14:paraId="3CAF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33" w:type="pct"/>
            <w:vAlign w:val="center"/>
          </w:tcPr>
          <w:p w14:paraId="6713F7F8">
            <w:pPr>
              <w:spacing w:before="120" w:after="12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96" w:type="pct"/>
            <w:vAlign w:val="center"/>
          </w:tcPr>
          <w:p w14:paraId="6A04BCCB">
            <w:pPr>
              <w:spacing w:before="120" w:after="120"/>
              <w:jc w:val="center"/>
              <w:rPr>
                <w:rFonts w:hint="eastAsia" w:ascii="仿宋" w:hAnsi="仿宋" w:eastAsia="仿宋" w:cs="仿宋"/>
                <w:sz w:val="24"/>
                <w:szCs w:val="24"/>
              </w:rPr>
            </w:pPr>
            <w:r>
              <w:rPr>
                <w:rFonts w:hint="eastAsia" w:ascii="仿宋" w:hAnsi="仿宋" w:eastAsia="仿宋" w:cs="仿宋"/>
                <w:sz w:val="24"/>
                <w:szCs w:val="24"/>
              </w:rPr>
              <w:t>设备名称</w:t>
            </w:r>
          </w:p>
          <w:p w14:paraId="7D404C2F">
            <w:pPr>
              <w:spacing w:before="120" w:after="120"/>
              <w:jc w:val="center"/>
              <w:rPr>
                <w:rFonts w:hint="eastAsia" w:ascii="仿宋" w:hAnsi="仿宋" w:eastAsia="仿宋" w:cs="仿宋"/>
                <w:sz w:val="24"/>
                <w:szCs w:val="24"/>
              </w:rPr>
            </w:pPr>
            <w:r>
              <w:rPr>
                <w:rFonts w:hint="eastAsia" w:ascii="仿宋" w:hAnsi="仿宋" w:eastAsia="仿宋" w:cs="仿宋"/>
                <w:sz w:val="24"/>
                <w:szCs w:val="24"/>
              </w:rPr>
              <w:t>（品牌型号）</w:t>
            </w:r>
          </w:p>
        </w:tc>
        <w:tc>
          <w:tcPr>
            <w:tcW w:w="3170" w:type="pct"/>
            <w:vAlign w:val="center"/>
          </w:tcPr>
          <w:p w14:paraId="1394E0C3">
            <w:pPr>
              <w:spacing w:before="120" w:after="120"/>
              <w:jc w:val="center"/>
              <w:rPr>
                <w:rFonts w:hint="eastAsia" w:ascii="仿宋" w:hAnsi="仿宋" w:eastAsia="仿宋" w:cs="仿宋"/>
                <w:sz w:val="24"/>
                <w:szCs w:val="24"/>
              </w:rPr>
            </w:pPr>
            <w:r>
              <w:rPr>
                <w:rFonts w:hint="eastAsia" w:ascii="仿宋" w:hAnsi="仿宋" w:eastAsia="仿宋" w:cs="仿宋"/>
                <w:sz w:val="24"/>
                <w:szCs w:val="24"/>
              </w:rPr>
              <w:t>参数要求</w:t>
            </w:r>
          </w:p>
        </w:tc>
      </w:tr>
      <w:tr w14:paraId="5FD0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233" w:type="pct"/>
            <w:vAlign w:val="center"/>
          </w:tcPr>
          <w:p w14:paraId="141F6CDD">
            <w:pPr>
              <w:spacing w:before="120" w:after="120"/>
              <w:jc w:val="center"/>
              <w:rPr>
                <w:rFonts w:hint="eastAsia" w:ascii="仿宋" w:hAnsi="仿宋" w:eastAsia="仿宋" w:cs="仿宋"/>
                <w:sz w:val="24"/>
                <w:szCs w:val="24"/>
              </w:rPr>
            </w:pPr>
            <w:r>
              <w:rPr>
                <w:rFonts w:hint="eastAsia" w:ascii="仿宋" w:hAnsi="仿宋" w:eastAsia="仿宋" w:cs="仿宋"/>
                <w:sz w:val="24"/>
                <w:szCs w:val="24"/>
              </w:rPr>
              <w:t>1</w:t>
            </w:r>
          </w:p>
        </w:tc>
        <w:tc>
          <w:tcPr>
            <w:tcW w:w="1596" w:type="pct"/>
            <w:vAlign w:val="center"/>
          </w:tcPr>
          <w:p w14:paraId="387CDEED">
            <w:pPr>
              <w:spacing w:before="120" w:after="12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监控存储设备（希捷8TB）</w:t>
            </w:r>
          </w:p>
        </w:tc>
        <w:tc>
          <w:tcPr>
            <w:tcW w:w="3170" w:type="pct"/>
            <w:vAlign w:val="center"/>
          </w:tcPr>
          <w:p w14:paraId="33E6284C">
            <w:pPr>
              <w:spacing w:before="120" w:after="120"/>
              <w:rPr>
                <w:rFonts w:hint="eastAsia" w:ascii="仿宋" w:hAnsi="仿宋" w:eastAsia="仿宋" w:cs="仿宋"/>
                <w:sz w:val="24"/>
                <w:szCs w:val="24"/>
              </w:rPr>
            </w:pPr>
            <w:r>
              <w:rPr>
                <w:rFonts w:hint="eastAsia" w:ascii="仿宋" w:hAnsi="仿宋" w:eastAsia="仿宋" w:cs="仿宋"/>
                <w:sz w:val="24"/>
                <w:szCs w:val="24"/>
              </w:rPr>
              <w:t>容量：8TB存储</w:t>
            </w:r>
          </w:p>
          <w:p w14:paraId="0D80D05D">
            <w:pPr>
              <w:spacing w:before="120" w:after="120"/>
              <w:rPr>
                <w:rFonts w:hint="eastAsia" w:ascii="仿宋" w:hAnsi="仿宋" w:eastAsia="仿宋" w:cs="仿宋"/>
                <w:sz w:val="24"/>
                <w:szCs w:val="24"/>
              </w:rPr>
            </w:pPr>
            <w:r>
              <w:rPr>
                <w:rFonts w:hint="eastAsia" w:ascii="仿宋" w:hAnsi="仿宋" w:eastAsia="仿宋" w:cs="仿宋"/>
                <w:sz w:val="24"/>
                <w:szCs w:val="24"/>
              </w:rPr>
              <w:t>规格：3.5英寸/SATA3.0接口</w:t>
            </w:r>
          </w:p>
          <w:p w14:paraId="6C3C924C">
            <w:pPr>
              <w:spacing w:before="120" w:after="120"/>
              <w:rPr>
                <w:rFonts w:hint="eastAsia" w:ascii="仿宋" w:hAnsi="仿宋" w:eastAsia="仿宋" w:cs="仿宋"/>
                <w:sz w:val="24"/>
                <w:szCs w:val="24"/>
                <w:lang w:val="en-US" w:eastAsia="zh-CN"/>
              </w:rPr>
            </w:pPr>
            <w:r>
              <w:rPr>
                <w:rFonts w:hint="eastAsia" w:ascii="仿宋" w:hAnsi="仿宋" w:eastAsia="仿宋" w:cs="仿宋"/>
                <w:sz w:val="24"/>
                <w:szCs w:val="24"/>
              </w:rPr>
              <w:t>转速：7200转高速读写</w:t>
            </w:r>
          </w:p>
        </w:tc>
      </w:tr>
      <w:tr w14:paraId="0270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14:paraId="3D2447DC">
            <w:pPr>
              <w:spacing w:before="120" w:after="1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596" w:type="pct"/>
            <w:vAlign w:val="center"/>
          </w:tcPr>
          <w:p w14:paraId="1D5A661C">
            <w:pPr>
              <w:spacing w:before="120" w:after="1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监控摄像头</w:t>
            </w:r>
          </w:p>
          <w:p w14:paraId="2697CAFD">
            <w:pPr>
              <w:spacing w:before="120" w:after="120"/>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DH-IPC-HDW32BQV-MUDZ</w:t>
            </w:r>
          </w:p>
          <w:p w14:paraId="25CF9381">
            <w:pPr>
              <w:spacing w:before="120" w:after="12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170" w:type="pct"/>
            <w:vAlign w:val="center"/>
          </w:tcPr>
          <w:p w14:paraId="5633E3FE">
            <w:pPr>
              <w:spacing w:before="120" w:after="120"/>
              <w:rPr>
                <w:rFonts w:hint="eastAsia" w:ascii="仿宋" w:hAnsi="仿宋" w:eastAsia="仿宋" w:cs="仿宋"/>
                <w:sz w:val="24"/>
                <w:szCs w:val="24"/>
              </w:rPr>
            </w:pPr>
            <w:r>
              <w:rPr>
                <w:rFonts w:hint="eastAsia" w:ascii="仿宋" w:hAnsi="仿宋" w:eastAsia="仿宋" w:cs="仿宋"/>
                <w:sz w:val="24"/>
                <w:szCs w:val="24"/>
              </w:rPr>
              <w:t>传感器类型：1/3英寸CMOS；</w:t>
            </w:r>
          </w:p>
          <w:p w14:paraId="12341F32">
            <w:pPr>
              <w:spacing w:before="120" w:after="120"/>
              <w:rPr>
                <w:rFonts w:hint="eastAsia" w:ascii="仿宋" w:hAnsi="仿宋" w:eastAsia="仿宋" w:cs="仿宋"/>
                <w:sz w:val="24"/>
                <w:szCs w:val="24"/>
              </w:rPr>
            </w:pPr>
            <w:r>
              <w:rPr>
                <w:rFonts w:hint="eastAsia" w:ascii="仿宋" w:hAnsi="仿宋" w:eastAsia="仿宋" w:cs="仿宋"/>
                <w:sz w:val="24"/>
                <w:szCs w:val="24"/>
              </w:rPr>
              <w:t>像素：200万；</w:t>
            </w:r>
          </w:p>
          <w:p w14:paraId="77A2D6C3">
            <w:pPr>
              <w:spacing w:before="120" w:after="120"/>
              <w:rPr>
                <w:rFonts w:hint="eastAsia" w:ascii="仿宋" w:hAnsi="仿宋" w:eastAsia="仿宋" w:cs="仿宋"/>
                <w:sz w:val="24"/>
                <w:szCs w:val="24"/>
              </w:rPr>
            </w:pPr>
            <w:r>
              <w:rPr>
                <w:rFonts w:hint="eastAsia" w:ascii="仿宋" w:hAnsi="仿宋" w:eastAsia="仿宋" w:cs="仿宋"/>
                <w:sz w:val="24"/>
                <w:szCs w:val="24"/>
              </w:rPr>
              <w:t>最大分辨率：1920×1080；</w:t>
            </w:r>
          </w:p>
          <w:p w14:paraId="24BC9FC2">
            <w:pPr>
              <w:spacing w:before="120" w:after="120"/>
              <w:rPr>
                <w:rFonts w:hint="eastAsia" w:ascii="仿宋" w:hAnsi="仿宋" w:eastAsia="仿宋" w:cs="仿宋"/>
                <w:sz w:val="24"/>
                <w:szCs w:val="24"/>
              </w:rPr>
            </w:pPr>
            <w:r>
              <w:rPr>
                <w:rFonts w:hint="eastAsia" w:ascii="仿宋" w:hAnsi="仿宋" w:eastAsia="仿宋" w:cs="仿宋"/>
                <w:sz w:val="24"/>
                <w:szCs w:val="24"/>
              </w:rPr>
              <w:t>最低照度：0.01lux（彩色模式）；0.001lux（黑白模式）；0lux（补光灯开启）；</w:t>
            </w:r>
          </w:p>
          <w:p w14:paraId="1E515220">
            <w:pPr>
              <w:spacing w:before="120" w:after="120"/>
              <w:rPr>
                <w:rFonts w:hint="eastAsia" w:ascii="仿宋" w:hAnsi="仿宋" w:eastAsia="仿宋" w:cs="仿宋"/>
                <w:sz w:val="24"/>
                <w:szCs w:val="24"/>
              </w:rPr>
            </w:pPr>
            <w:r>
              <w:rPr>
                <w:rFonts w:hint="eastAsia" w:ascii="仿宋" w:hAnsi="仿宋" w:eastAsia="仿宋" w:cs="仿宋"/>
                <w:sz w:val="24"/>
                <w:szCs w:val="24"/>
              </w:rPr>
              <w:t>最大补光距离：50m（红外）；</w:t>
            </w:r>
          </w:p>
          <w:p w14:paraId="29875710">
            <w:pPr>
              <w:spacing w:before="120" w:after="120"/>
              <w:rPr>
                <w:rFonts w:hint="eastAsia" w:ascii="仿宋" w:hAnsi="仿宋" w:eastAsia="仿宋" w:cs="仿宋"/>
                <w:sz w:val="24"/>
                <w:szCs w:val="24"/>
              </w:rPr>
            </w:pPr>
            <w:r>
              <w:rPr>
                <w:rFonts w:hint="eastAsia" w:ascii="仿宋" w:hAnsi="仿宋" w:eastAsia="仿宋" w:cs="仿宋"/>
                <w:sz w:val="24"/>
                <w:szCs w:val="24"/>
              </w:rPr>
              <w:t>补光灯：2颗（红外灯）；</w:t>
            </w:r>
          </w:p>
          <w:p w14:paraId="27B94E66">
            <w:pPr>
              <w:spacing w:before="120" w:after="120"/>
              <w:rPr>
                <w:rFonts w:hint="eastAsia" w:ascii="仿宋" w:hAnsi="仿宋" w:eastAsia="仿宋" w:cs="仿宋"/>
                <w:sz w:val="24"/>
                <w:szCs w:val="24"/>
              </w:rPr>
            </w:pPr>
            <w:r>
              <w:rPr>
                <w:rFonts w:hint="eastAsia" w:ascii="仿宋" w:hAnsi="仿宋" w:eastAsia="仿宋" w:cs="仿宋"/>
                <w:sz w:val="24"/>
                <w:szCs w:val="24"/>
              </w:rPr>
              <w:t>镜头类型：定焦；</w:t>
            </w:r>
          </w:p>
          <w:p w14:paraId="77C8BA77">
            <w:pPr>
              <w:spacing w:before="120" w:after="120"/>
              <w:rPr>
                <w:rFonts w:hint="eastAsia" w:ascii="仿宋" w:hAnsi="仿宋" w:eastAsia="仿宋" w:cs="仿宋"/>
                <w:sz w:val="24"/>
                <w:szCs w:val="24"/>
              </w:rPr>
            </w:pPr>
            <w:r>
              <w:rPr>
                <w:rFonts w:hint="eastAsia" w:ascii="仿宋" w:hAnsi="仿宋" w:eastAsia="仿宋" w:cs="仿宋"/>
                <w:sz w:val="24"/>
                <w:szCs w:val="24"/>
              </w:rPr>
              <w:t>镜头焦距：3.6mm；</w:t>
            </w:r>
          </w:p>
          <w:p w14:paraId="337D0974">
            <w:pPr>
              <w:spacing w:before="120" w:after="120"/>
              <w:rPr>
                <w:rFonts w:hint="eastAsia" w:ascii="仿宋" w:hAnsi="仿宋" w:eastAsia="仿宋" w:cs="仿宋"/>
                <w:sz w:val="24"/>
                <w:szCs w:val="24"/>
              </w:rPr>
            </w:pPr>
            <w:r>
              <w:rPr>
                <w:rFonts w:hint="eastAsia" w:ascii="仿宋" w:hAnsi="仿宋" w:eastAsia="仿宋" w:cs="仿宋"/>
                <w:sz w:val="24"/>
                <w:szCs w:val="24"/>
              </w:rPr>
              <w:t>镜头光圈：F2.0；</w:t>
            </w:r>
          </w:p>
          <w:p w14:paraId="6C26F5DF">
            <w:pPr>
              <w:spacing w:before="120" w:after="120"/>
              <w:rPr>
                <w:rFonts w:hint="eastAsia" w:ascii="仿宋" w:hAnsi="仿宋" w:eastAsia="仿宋" w:cs="仿宋"/>
                <w:sz w:val="24"/>
                <w:szCs w:val="24"/>
              </w:rPr>
            </w:pPr>
            <w:r>
              <w:rPr>
                <w:rFonts w:hint="eastAsia" w:ascii="仿宋" w:hAnsi="仿宋" w:eastAsia="仿宋" w:cs="仿宋"/>
                <w:sz w:val="24"/>
                <w:szCs w:val="24"/>
              </w:rPr>
              <w:t>视场角：水平：78°；垂直：42°；对角：92°；</w:t>
            </w:r>
          </w:p>
          <w:p w14:paraId="7EE14C8A">
            <w:pPr>
              <w:spacing w:before="120" w:after="120"/>
              <w:rPr>
                <w:rFonts w:hint="eastAsia" w:ascii="仿宋" w:hAnsi="仿宋" w:eastAsia="仿宋" w:cs="仿宋"/>
                <w:sz w:val="24"/>
                <w:szCs w:val="24"/>
              </w:rPr>
            </w:pPr>
            <w:r>
              <w:rPr>
                <w:rFonts w:hint="eastAsia" w:ascii="仿宋" w:hAnsi="仿宋" w:eastAsia="仿宋" w:cs="仿宋"/>
                <w:sz w:val="24"/>
                <w:szCs w:val="24"/>
              </w:rPr>
              <w:t>周界防范：绊线入侵；区域入侵；</w:t>
            </w:r>
          </w:p>
          <w:p w14:paraId="0F1542C7">
            <w:pPr>
              <w:spacing w:before="120" w:after="120"/>
              <w:rPr>
                <w:rFonts w:hint="eastAsia" w:ascii="仿宋" w:hAnsi="仿宋" w:eastAsia="仿宋" w:cs="仿宋"/>
                <w:sz w:val="24"/>
                <w:szCs w:val="24"/>
              </w:rPr>
            </w:pPr>
            <w:r>
              <w:rPr>
                <w:rFonts w:hint="eastAsia" w:ascii="仿宋" w:hAnsi="仿宋" w:eastAsia="仿宋" w:cs="仿宋"/>
                <w:sz w:val="24"/>
                <w:szCs w:val="24"/>
              </w:rPr>
              <w:t>智能编码：H.264：支持；H.265：支持；</w:t>
            </w:r>
          </w:p>
          <w:p w14:paraId="7A8A91E8">
            <w:pPr>
              <w:spacing w:before="120" w:after="120"/>
              <w:rPr>
                <w:rFonts w:hint="eastAsia" w:ascii="仿宋" w:hAnsi="仿宋" w:eastAsia="仿宋" w:cs="仿宋"/>
                <w:sz w:val="24"/>
                <w:szCs w:val="24"/>
              </w:rPr>
            </w:pPr>
            <w:r>
              <w:rPr>
                <w:rFonts w:hint="eastAsia" w:ascii="仿宋" w:hAnsi="仿宋" w:eastAsia="仿宋" w:cs="仿宋"/>
                <w:sz w:val="24"/>
                <w:szCs w:val="24"/>
              </w:rPr>
              <w:t>宽动态：支持；</w:t>
            </w:r>
          </w:p>
          <w:p w14:paraId="376B33EF">
            <w:pPr>
              <w:spacing w:before="120" w:after="120"/>
              <w:rPr>
                <w:rFonts w:hint="eastAsia" w:ascii="仿宋" w:hAnsi="仿宋" w:eastAsia="仿宋" w:cs="仿宋"/>
                <w:sz w:val="24"/>
                <w:szCs w:val="24"/>
              </w:rPr>
            </w:pPr>
            <w:r>
              <w:rPr>
                <w:rFonts w:hint="eastAsia" w:ascii="仿宋" w:hAnsi="仿宋" w:eastAsia="仿宋" w:cs="仿宋"/>
                <w:sz w:val="24"/>
                <w:szCs w:val="24"/>
              </w:rPr>
              <w:t>走廊模式：90°/270°（在1080p分辨率及以下支持）；</w:t>
            </w:r>
          </w:p>
          <w:p w14:paraId="4EFE7162">
            <w:pPr>
              <w:spacing w:before="120" w:after="120"/>
              <w:rPr>
                <w:rFonts w:hint="eastAsia" w:ascii="仿宋" w:hAnsi="仿宋" w:eastAsia="仿宋" w:cs="仿宋"/>
                <w:sz w:val="24"/>
                <w:szCs w:val="24"/>
              </w:rPr>
            </w:pPr>
            <w:r>
              <w:rPr>
                <w:rFonts w:hint="eastAsia" w:ascii="仿宋" w:hAnsi="仿宋" w:eastAsia="仿宋" w:cs="仿宋"/>
                <w:sz w:val="24"/>
                <w:szCs w:val="24"/>
              </w:rPr>
              <w:t>内置麦克风：支持，内置1个麦克风；</w:t>
            </w:r>
          </w:p>
          <w:p w14:paraId="18107309">
            <w:pPr>
              <w:spacing w:before="120" w:after="120"/>
              <w:rPr>
                <w:rFonts w:hint="eastAsia" w:ascii="仿宋" w:hAnsi="仿宋" w:eastAsia="仿宋" w:cs="仿宋"/>
                <w:sz w:val="24"/>
                <w:szCs w:val="24"/>
              </w:rPr>
            </w:pPr>
            <w:r>
              <w:rPr>
                <w:rFonts w:hint="eastAsia" w:ascii="仿宋" w:hAnsi="仿宋" w:eastAsia="仿宋" w:cs="仿宋"/>
                <w:sz w:val="24"/>
                <w:szCs w:val="24"/>
              </w:rPr>
              <w:t>报警事件：网络断开；IP冲突；非法访问；动态检测；视频遮挡；音频异常侦测；智能动检（人）；安全异常；</w:t>
            </w:r>
          </w:p>
          <w:p w14:paraId="7F9B737F">
            <w:pPr>
              <w:spacing w:before="120" w:after="120"/>
              <w:rPr>
                <w:rFonts w:hint="eastAsia" w:ascii="仿宋" w:hAnsi="仿宋" w:eastAsia="仿宋" w:cs="仿宋"/>
                <w:sz w:val="24"/>
                <w:szCs w:val="24"/>
              </w:rPr>
            </w:pPr>
            <w:r>
              <w:rPr>
                <w:rFonts w:hint="eastAsia" w:ascii="仿宋" w:hAnsi="仿宋" w:eastAsia="仿宋" w:cs="仿宋"/>
                <w:sz w:val="24"/>
                <w:szCs w:val="24"/>
              </w:rPr>
              <w:t>接入标准：ONVIF（Profile S &amp; Profile T）；CGI；GB/T28181；大华云联；</w:t>
            </w:r>
          </w:p>
          <w:p w14:paraId="4C676B5E">
            <w:pPr>
              <w:spacing w:before="120" w:after="120"/>
              <w:rPr>
                <w:rFonts w:hint="eastAsia" w:ascii="仿宋" w:hAnsi="仿宋" w:eastAsia="仿宋" w:cs="仿宋"/>
                <w:sz w:val="24"/>
                <w:szCs w:val="24"/>
              </w:rPr>
            </w:pPr>
            <w:r>
              <w:rPr>
                <w:rFonts w:hint="eastAsia" w:ascii="仿宋" w:hAnsi="仿宋" w:eastAsia="仿宋" w:cs="仿宋"/>
                <w:sz w:val="24"/>
                <w:szCs w:val="24"/>
              </w:rPr>
              <w:t>预览最大用户数：6个（总带宽：24M）；</w:t>
            </w:r>
          </w:p>
          <w:p w14:paraId="282716C9">
            <w:pPr>
              <w:spacing w:before="120" w:after="120"/>
              <w:rPr>
                <w:rFonts w:hint="eastAsia" w:ascii="仿宋" w:hAnsi="仿宋" w:eastAsia="仿宋" w:cs="仿宋"/>
                <w:sz w:val="24"/>
                <w:szCs w:val="24"/>
              </w:rPr>
            </w:pPr>
            <w:r>
              <w:rPr>
                <w:rFonts w:hint="eastAsia" w:ascii="仿宋" w:hAnsi="仿宋" w:eastAsia="仿宋" w:cs="仿宋"/>
                <w:sz w:val="24"/>
                <w:szCs w:val="24"/>
              </w:rPr>
              <w:t>供电方式：DC12V（±30%）；PoE（802.3af）；</w:t>
            </w:r>
          </w:p>
          <w:p w14:paraId="6B3A22ED">
            <w:pPr>
              <w:spacing w:before="120" w:after="120"/>
              <w:rPr>
                <w:rFonts w:hint="eastAsia" w:ascii="仿宋" w:hAnsi="仿宋" w:eastAsia="仿宋" w:cs="仿宋"/>
                <w:sz w:val="24"/>
                <w:szCs w:val="24"/>
              </w:rPr>
            </w:pPr>
            <w:r>
              <w:rPr>
                <w:rFonts w:hint="eastAsia" w:ascii="仿宋" w:hAnsi="仿宋" w:eastAsia="仿宋" w:cs="仿宋"/>
                <w:sz w:val="24"/>
                <w:szCs w:val="24"/>
              </w:rPr>
              <w:t>防护等级：IP67；</w:t>
            </w:r>
          </w:p>
          <w:p w14:paraId="4DFFAF81">
            <w:pPr>
              <w:spacing w:before="120" w:after="120"/>
              <w:rPr>
                <w:rFonts w:hint="eastAsia" w:ascii="仿宋" w:hAnsi="仿宋" w:eastAsia="仿宋" w:cs="仿宋"/>
                <w:sz w:val="24"/>
                <w:szCs w:val="24"/>
              </w:rPr>
            </w:pPr>
            <w:r>
              <w:rPr>
                <w:rFonts w:hint="eastAsia" w:ascii="仿宋" w:hAnsi="仿宋" w:eastAsia="仿宋" w:cs="仿宋"/>
                <w:sz w:val="24"/>
                <w:szCs w:val="24"/>
              </w:rPr>
              <w:t>防腐蚀等级：普通防护*该级别的产品适用于不需要特定防腐保护的区域。</w:t>
            </w:r>
          </w:p>
        </w:tc>
      </w:tr>
      <w:tr w14:paraId="0B8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14:paraId="5F033F39">
            <w:pPr>
              <w:spacing w:before="120" w:after="1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96" w:type="pct"/>
            <w:vAlign w:val="center"/>
          </w:tcPr>
          <w:p w14:paraId="7D1E35E7">
            <w:pPr>
              <w:spacing w:before="120" w:after="1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录像机</w:t>
            </w:r>
          </w:p>
          <w:p w14:paraId="2E516AEA">
            <w:pPr>
              <w:spacing w:before="120" w:after="120"/>
              <w:rPr>
                <w:rFonts w:hint="eastAsia" w:ascii="仿宋" w:hAnsi="仿宋" w:eastAsia="仿宋" w:cs="仿宋"/>
                <w:b/>
                <w:bCs/>
                <w:sz w:val="24"/>
                <w:szCs w:val="24"/>
              </w:rPr>
            </w:pPr>
            <w:r>
              <w:rPr>
                <w:rFonts w:hint="eastAsia" w:ascii="仿宋" w:hAnsi="仿宋" w:eastAsia="仿宋" w:cs="仿宋"/>
                <w:sz w:val="24"/>
                <w:szCs w:val="24"/>
                <w:lang w:val="en-US" w:eastAsia="zh-CN"/>
              </w:rPr>
              <w:t>（</w:t>
            </w:r>
            <w:r>
              <w:rPr>
                <w:rFonts w:hint="eastAsia" w:ascii="仿宋" w:hAnsi="仿宋" w:eastAsia="仿宋" w:cs="仿宋"/>
                <w:b/>
                <w:bCs/>
                <w:sz w:val="24"/>
                <w:szCs w:val="24"/>
              </w:rPr>
              <w:t>DH-NVR4832-4KS2/I-DZZY</w:t>
            </w:r>
          </w:p>
          <w:p w14:paraId="75BCF0D5">
            <w:pPr>
              <w:spacing w:before="120" w:after="12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170" w:type="pct"/>
            <w:vAlign w:val="center"/>
          </w:tcPr>
          <w:p w14:paraId="5AAA09EE">
            <w:pPr>
              <w:spacing w:before="120" w:after="120"/>
              <w:rPr>
                <w:rFonts w:hint="eastAsia" w:ascii="仿宋" w:hAnsi="仿宋" w:eastAsia="仿宋" w:cs="仿宋"/>
                <w:b/>
                <w:bCs/>
                <w:sz w:val="24"/>
                <w:szCs w:val="24"/>
              </w:rPr>
            </w:pPr>
            <w:r>
              <w:rPr>
                <w:rFonts w:hint="eastAsia" w:ascii="仿宋" w:hAnsi="仿宋" w:eastAsia="仿宋" w:cs="仿宋"/>
                <w:b/>
                <w:bCs/>
                <w:sz w:val="24"/>
                <w:szCs w:val="24"/>
              </w:rPr>
              <w:t>主处理器：工业级微控制器；</w:t>
            </w:r>
          </w:p>
          <w:p w14:paraId="6D813DB9">
            <w:pPr>
              <w:spacing w:before="120" w:after="120"/>
              <w:rPr>
                <w:rFonts w:hint="eastAsia" w:ascii="仿宋" w:hAnsi="仿宋" w:eastAsia="仿宋" w:cs="仿宋"/>
                <w:b/>
                <w:bCs/>
                <w:sz w:val="24"/>
                <w:szCs w:val="24"/>
              </w:rPr>
            </w:pPr>
            <w:r>
              <w:rPr>
                <w:rFonts w:hint="eastAsia" w:ascii="仿宋" w:hAnsi="仿宋" w:eastAsia="仿宋" w:cs="仿宋"/>
                <w:b/>
                <w:bCs/>
                <w:sz w:val="24"/>
                <w:szCs w:val="24"/>
              </w:rPr>
              <w:t>操作系统：嵌入式Linux操作系统；</w:t>
            </w:r>
          </w:p>
          <w:p w14:paraId="465B4B12">
            <w:pPr>
              <w:spacing w:before="120" w:after="120"/>
              <w:rPr>
                <w:rFonts w:hint="eastAsia" w:ascii="仿宋" w:hAnsi="仿宋" w:eastAsia="仿宋" w:cs="仿宋"/>
                <w:b/>
                <w:bCs/>
                <w:sz w:val="24"/>
                <w:szCs w:val="24"/>
              </w:rPr>
            </w:pPr>
            <w:r>
              <w:rPr>
                <w:rFonts w:hint="eastAsia" w:ascii="仿宋" w:hAnsi="仿宋" w:eastAsia="仿宋" w:cs="仿宋"/>
                <w:b/>
                <w:bCs/>
                <w:sz w:val="24"/>
                <w:szCs w:val="24"/>
              </w:rPr>
              <w:t>后智能分析：支持后智能人脸检测、人脸识别、周界防范、智能动检*后智能无法和异源输出或4K显示输出功能同时启用；</w:t>
            </w:r>
          </w:p>
          <w:p w14:paraId="52A76B6E">
            <w:pPr>
              <w:spacing w:before="120" w:after="120"/>
              <w:rPr>
                <w:rFonts w:hint="eastAsia" w:ascii="仿宋" w:hAnsi="仿宋" w:eastAsia="仿宋" w:cs="仿宋"/>
                <w:b/>
                <w:bCs/>
                <w:sz w:val="24"/>
                <w:szCs w:val="24"/>
              </w:rPr>
            </w:pPr>
            <w:r>
              <w:rPr>
                <w:rFonts w:hint="eastAsia" w:ascii="仿宋" w:hAnsi="仿宋" w:eastAsia="仿宋" w:cs="仿宋"/>
                <w:b/>
                <w:bCs/>
                <w:sz w:val="24"/>
                <w:szCs w:val="24"/>
              </w:rPr>
              <w:t>前智能分析：支持前智能人脸检测、人脸识别、周界防范、智能动检、立体行为分析、人群分布、人数统计、车牌识别、物品监控、高空抛物检测、电瓶车入梯；</w:t>
            </w:r>
          </w:p>
          <w:p w14:paraId="297718C4">
            <w:pPr>
              <w:spacing w:before="120" w:after="120"/>
              <w:rPr>
                <w:rFonts w:hint="eastAsia" w:ascii="仿宋" w:hAnsi="仿宋" w:eastAsia="仿宋" w:cs="仿宋"/>
                <w:b/>
                <w:bCs/>
                <w:sz w:val="24"/>
                <w:szCs w:val="24"/>
              </w:rPr>
            </w:pPr>
            <w:r>
              <w:rPr>
                <w:rFonts w:hint="eastAsia" w:ascii="仿宋" w:hAnsi="仿宋" w:eastAsia="仿宋" w:cs="仿宋"/>
                <w:b/>
                <w:bCs/>
                <w:sz w:val="24"/>
                <w:szCs w:val="24"/>
              </w:rPr>
              <w:t>周界后智能性能（路数）：2路，每路绘制10规则线；</w:t>
            </w:r>
          </w:p>
          <w:p w14:paraId="1D1D19B7">
            <w:pPr>
              <w:spacing w:before="120" w:after="120"/>
              <w:rPr>
                <w:rFonts w:hint="eastAsia" w:ascii="仿宋" w:hAnsi="仿宋" w:eastAsia="仿宋" w:cs="仿宋"/>
                <w:b/>
                <w:bCs/>
                <w:sz w:val="24"/>
                <w:szCs w:val="24"/>
              </w:rPr>
            </w:pPr>
            <w:r>
              <w:rPr>
                <w:rFonts w:hint="eastAsia" w:ascii="仿宋" w:hAnsi="仿宋" w:eastAsia="仿宋" w:cs="仿宋"/>
                <w:b/>
                <w:bCs/>
                <w:sz w:val="24"/>
                <w:szCs w:val="24"/>
              </w:rPr>
              <w:t>周界前智能性能（路数）：8路；</w:t>
            </w:r>
          </w:p>
          <w:p w14:paraId="7B2DBA12">
            <w:pPr>
              <w:spacing w:before="120" w:after="120"/>
              <w:rPr>
                <w:rFonts w:hint="eastAsia" w:ascii="仿宋" w:hAnsi="仿宋" w:eastAsia="仿宋" w:cs="仿宋"/>
                <w:b/>
                <w:bCs/>
                <w:sz w:val="24"/>
                <w:szCs w:val="24"/>
              </w:rPr>
            </w:pPr>
            <w:r>
              <w:rPr>
                <w:rFonts w:hint="eastAsia" w:ascii="仿宋" w:hAnsi="仿宋" w:eastAsia="仿宋" w:cs="仿宋"/>
                <w:b/>
                <w:bCs/>
                <w:sz w:val="24"/>
                <w:szCs w:val="24"/>
              </w:rPr>
              <w:t>人脸检测后智能性能（1080P）(路数)：1路，单路同时最多检测12张人脸；</w:t>
            </w:r>
          </w:p>
          <w:p w14:paraId="7AA441EA">
            <w:pPr>
              <w:spacing w:before="120" w:after="120"/>
              <w:rPr>
                <w:rFonts w:hint="eastAsia" w:ascii="仿宋" w:hAnsi="仿宋" w:eastAsia="仿宋" w:cs="仿宋"/>
                <w:b/>
                <w:bCs/>
                <w:sz w:val="24"/>
                <w:szCs w:val="24"/>
              </w:rPr>
            </w:pPr>
            <w:r>
              <w:rPr>
                <w:rFonts w:hint="eastAsia" w:ascii="仿宋" w:hAnsi="仿宋" w:eastAsia="仿宋" w:cs="仿宋"/>
                <w:b/>
                <w:bCs/>
                <w:sz w:val="24"/>
                <w:szCs w:val="24"/>
              </w:rPr>
              <w:t>人脸识别后智能性能（1080P）(路数)：1. 前端人脸检测+后端人脸比对支持8路图片流，最多同时处理12张/秒人脸；2. 后端人脸检测+后端人脸比对支持1路视频流，最多同时处理12张/秒人脸；</w:t>
            </w:r>
          </w:p>
          <w:p w14:paraId="06955B22">
            <w:pPr>
              <w:spacing w:before="120" w:after="120"/>
              <w:rPr>
                <w:rFonts w:hint="eastAsia" w:ascii="仿宋" w:hAnsi="仿宋" w:eastAsia="仿宋" w:cs="仿宋"/>
                <w:b/>
                <w:bCs/>
                <w:sz w:val="24"/>
                <w:szCs w:val="24"/>
              </w:rPr>
            </w:pPr>
            <w:r>
              <w:rPr>
                <w:rFonts w:hint="eastAsia" w:ascii="仿宋" w:hAnsi="仿宋" w:eastAsia="仿宋" w:cs="仿宋"/>
                <w:b/>
                <w:bCs/>
                <w:sz w:val="24"/>
                <w:szCs w:val="24"/>
              </w:rPr>
              <w:t>人脸识别前智能性能（路数）：全通道（最大处理8个事件/秒）；</w:t>
            </w:r>
          </w:p>
          <w:p w14:paraId="4E0B67A4">
            <w:pPr>
              <w:spacing w:before="120" w:after="120"/>
              <w:rPr>
                <w:rFonts w:hint="eastAsia" w:ascii="仿宋" w:hAnsi="仿宋" w:eastAsia="仿宋" w:cs="仿宋"/>
                <w:b/>
                <w:bCs/>
                <w:sz w:val="24"/>
                <w:szCs w:val="24"/>
              </w:rPr>
            </w:pPr>
            <w:r>
              <w:rPr>
                <w:rFonts w:hint="eastAsia" w:ascii="仿宋" w:hAnsi="仿宋" w:eastAsia="仿宋" w:cs="仿宋"/>
                <w:b/>
                <w:bCs/>
                <w:sz w:val="24"/>
                <w:szCs w:val="24"/>
              </w:rPr>
              <w:t>接入路数：32路；</w:t>
            </w:r>
          </w:p>
          <w:p w14:paraId="6E43F4A9">
            <w:pPr>
              <w:spacing w:before="120" w:after="120"/>
              <w:rPr>
                <w:rFonts w:hint="eastAsia" w:ascii="仿宋" w:hAnsi="仿宋" w:eastAsia="仿宋" w:cs="仿宋"/>
                <w:b/>
                <w:bCs/>
                <w:sz w:val="24"/>
                <w:szCs w:val="24"/>
              </w:rPr>
            </w:pPr>
            <w:r>
              <w:rPr>
                <w:rFonts w:hint="eastAsia" w:ascii="仿宋" w:hAnsi="仿宋" w:eastAsia="仿宋" w:cs="仿宋"/>
                <w:b/>
                <w:bCs/>
                <w:sz w:val="24"/>
                <w:szCs w:val="24"/>
              </w:rPr>
              <w:t>分辨率：16MP；12MP；8MP；6MP；5MP；4MP；3MP；1080p；720p；960p；D1；CIF；</w:t>
            </w:r>
          </w:p>
          <w:p w14:paraId="0062332E">
            <w:pPr>
              <w:spacing w:before="120" w:after="120"/>
              <w:rPr>
                <w:rFonts w:hint="eastAsia" w:ascii="仿宋" w:hAnsi="仿宋" w:eastAsia="仿宋" w:cs="仿宋"/>
                <w:b/>
                <w:bCs/>
                <w:sz w:val="24"/>
                <w:szCs w:val="24"/>
              </w:rPr>
            </w:pPr>
            <w:r>
              <w:rPr>
                <w:rFonts w:hint="eastAsia" w:ascii="仿宋" w:hAnsi="仿宋" w:eastAsia="仿宋" w:cs="仿宋"/>
                <w:b/>
                <w:bCs/>
                <w:sz w:val="24"/>
                <w:szCs w:val="24"/>
              </w:rPr>
              <w:t>解码能力：1路16MP@30fps; 2路12MP@30fps; 3路8MP@30fps; 4路5MP@30fps; 6路4MP@30fps; 12路2MP@30fps；；</w:t>
            </w:r>
          </w:p>
          <w:p w14:paraId="220C7ED1">
            <w:pPr>
              <w:spacing w:before="120" w:after="120"/>
              <w:rPr>
                <w:rFonts w:hint="eastAsia" w:ascii="仿宋" w:hAnsi="仿宋" w:eastAsia="仿宋" w:cs="仿宋"/>
                <w:b/>
                <w:bCs/>
                <w:sz w:val="24"/>
                <w:szCs w:val="24"/>
              </w:rPr>
            </w:pPr>
            <w:r>
              <w:rPr>
                <w:rFonts w:hint="eastAsia" w:ascii="仿宋" w:hAnsi="仿宋" w:eastAsia="仿宋" w:cs="仿宋"/>
                <w:b/>
                <w:bCs/>
                <w:sz w:val="24"/>
                <w:szCs w:val="24"/>
              </w:rPr>
              <w:t>报警输入：16路；</w:t>
            </w:r>
          </w:p>
          <w:p w14:paraId="6C95754F">
            <w:pPr>
              <w:spacing w:before="120" w:after="120"/>
              <w:rPr>
                <w:rFonts w:hint="eastAsia" w:ascii="仿宋" w:hAnsi="仿宋" w:eastAsia="仿宋" w:cs="仿宋"/>
                <w:b/>
                <w:bCs/>
                <w:sz w:val="24"/>
                <w:szCs w:val="24"/>
              </w:rPr>
            </w:pPr>
            <w:r>
              <w:rPr>
                <w:rFonts w:hint="eastAsia" w:ascii="仿宋" w:hAnsi="仿宋" w:eastAsia="仿宋" w:cs="仿宋"/>
                <w:b/>
                <w:bCs/>
                <w:sz w:val="24"/>
                <w:szCs w:val="24"/>
              </w:rPr>
              <w:t>报警输出：4路；</w:t>
            </w:r>
          </w:p>
          <w:p w14:paraId="25C0089E">
            <w:pPr>
              <w:spacing w:before="120" w:after="120"/>
              <w:rPr>
                <w:rFonts w:hint="eastAsia" w:ascii="仿宋" w:hAnsi="仿宋" w:eastAsia="仿宋" w:cs="仿宋"/>
                <w:b/>
                <w:bCs/>
                <w:sz w:val="24"/>
                <w:szCs w:val="24"/>
              </w:rPr>
            </w:pPr>
            <w:r>
              <w:rPr>
                <w:rFonts w:hint="eastAsia" w:ascii="仿宋" w:hAnsi="仿宋" w:eastAsia="仿宋" w:cs="仿宋"/>
                <w:b/>
                <w:bCs/>
                <w:sz w:val="24"/>
                <w:szCs w:val="24"/>
              </w:rPr>
              <w:t>硬盘接口：9个SATA，单盘最大20T；</w:t>
            </w:r>
          </w:p>
          <w:p w14:paraId="26F5DBD6">
            <w:pPr>
              <w:spacing w:before="120" w:after="120"/>
              <w:rPr>
                <w:rFonts w:hint="eastAsia" w:ascii="仿宋" w:hAnsi="仿宋" w:eastAsia="仿宋" w:cs="仿宋"/>
                <w:b/>
                <w:bCs/>
                <w:sz w:val="24"/>
                <w:szCs w:val="24"/>
              </w:rPr>
            </w:pPr>
            <w:r>
              <w:rPr>
                <w:rFonts w:hint="eastAsia" w:ascii="仿宋" w:hAnsi="仿宋" w:eastAsia="仿宋" w:cs="仿宋"/>
                <w:b/>
                <w:bCs/>
                <w:sz w:val="24"/>
                <w:szCs w:val="24"/>
              </w:rPr>
              <w:t>RS-485接口：1个；</w:t>
            </w:r>
          </w:p>
          <w:p w14:paraId="51169D7B">
            <w:pPr>
              <w:spacing w:before="120" w:after="120"/>
              <w:rPr>
                <w:rFonts w:hint="eastAsia" w:ascii="仿宋" w:hAnsi="仿宋" w:eastAsia="仿宋" w:cs="仿宋"/>
                <w:b w:val="0"/>
                <w:bCs w:val="0"/>
                <w:sz w:val="24"/>
                <w:szCs w:val="24"/>
              </w:rPr>
            </w:pPr>
            <w:r>
              <w:rPr>
                <w:rFonts w:hint="eastAsia" w:ascii="仿宋" w:hAnsi="仿宋" w:eastAsia="仿宋" w:cs="仿宋"/>
                <w:b/>
                <w:bCs/>
                <w:sz w:val="24"/>
                <w:szCs w:val="24"/>
              </w:rPr>
              <w:t>网络接口：2个（10M/100M/1000M以太网口，RJ-45）</w:t>
            </w:r>
          </w:p>
        </w:tc>
      </w:tr>
    </w:tbl>
    <w:p w14:paraId="50A377AB">
      <w:pPr>
        <w:numPr>
          <w:ilvl w:val="0"/>
          <w:numId w:val="0"/>
        </w:numPr>
        <w:spacing w:before="120" w:after="120"/>
        <w:outlineLvl w:val="0"/>
        <w:rPr>
          <w:rFonts w:hint="default" w:ascii="宋体" w:hAnsi="宋体" w:cs="宋体"/>
          <w:b/>
          <w:bCs/>
          <w:sz w:val="28"/>
          <w:szCs w:val="28"/>
          <w:lang w:val="en-US" w:eastAsia="zh-CN"/>
        </w:rPr>
      </w:pPr>
    </w:p>
    <w:p w14:paraId="3ECEAA59">
      <w:pPr>
        <w:numPr>
          <w:ilvl w:val="0"/>
          <w:numId w:val="1"/>
        </w:numPr>
        <w:spacing w:before="120" w:after="120"/>
        <w:ind w:left="420" w:leftChars="0"/>
        <w:outlineLvl w:val="0"/>
        <w:rPr>
          <w:rFonts w:hint="eastAsia" w:ascii="仿宋" w:hAnsi="仿宋" w:eastAsia="仿宋" w:cs="仿宋"/>
          <w:b/>
          <w:bCs/>
          <w:sz w:val="28"/>
          <w:szCs w:val="28"/>
        </w:rPr>
      </w:pPr>
      <w:r>
        <w:rPr>
          <w:rFonts w:hint="eastAsia" w:ascii="仿宋" w:hAnsi="仿宋" w:eastAsia="仿宋" w:cs="仿宋"/>
          <w:b/>
          <w:bCs/>
          <w:sz w:val="28"/>
          <w:szCs w:val="28"/>
        </w:rPr>
        <w:t>商务要求</w:t>
      </w:r>
    </w:p>
    <w:p w14:paraId="20A9738A">
      <w:pPr>
        <w:keepNext w:val="0"/>
        <w:keepLines w:val="0"/>
        <w:pageBreakBefore w:val="0"/>
        <w:widowControl w:val="0"/>
        <w:numPr>
          <w:ilvl w:val="0"/>
          <w:numId w:val="2"/>
        </w:numPr>
        <w:kinsoku/>
        <w:wordWrap/>
        <w:overflowPunct/>
        <w:topLinePunct w:val="0"/>
        <w:autoSpaceDE/>
        <w:autoSpaceDN/>
        <w:bidi w:val="0"/>
        <w:adjustRightInd/>
        <w:snapToGrid/>
        <w:spacing w:before="120" w:after="120" w:line="360" w:lineRule="auto"/>
        <w:ind w:firstLine="560" w:firstLineChars="200"/>
        <w:jc w:val="left"/>
        <w:textAlignment w:val="auto"/>
        <w:outlineLvl w:val="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新增</w:t>
      </w:r>
      <w:r>
        <w:rPr>
          <w:rFonts w:hint="eastAsia" w:ascii="仿宋" w:hAnsi="仿宋" w:eastAsia="仿宋" w:cs="仿宋"/>
          <w:sz w:val="28"/>
          <w:szCs w:val="28"/>
          <w:highlight w:val="none"/>
        </w:rPr>
        <w:t>设备必须与已有的监控平台兼容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投标单位可提前到招标方现场勘察，联系人：王科长，联系方式：13819574177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，提供无缝对接技术</w:t>
      </w:r>
      <w:r>
        <w:rPr>
          <w:rFonts w:hint="eastAsia" w:ascii="仿宋" w:hAnsi="仿宋" w:eastAsia="仿宋" w:cs="仿宋"/>
          <w:sz w:val="28"/>
          <w:szCs w:val="28"/>
          <w:highlight w:val="none"/>
          <w:lang w:val="en-US" w:eastAsia="zh-CN"/>
        </w:rPr>
        <w:t>证明</w:t>
      </w:r>
      <w:r>
        <w:rPr>
          <w:rFonts w:hint="eastAsia" w:ascii="仿宋" w:hAnsi="仿宋" w:eastAsia="仿宋" w:cs="仿宋"/>
          <w:sz w:val="28"/>
          <w:szCs w:val="28"/>
          <w:highlight w:val="none"/>
        </w:rPr>
        <w:t>，中标单位负责设备的安装和调试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不增加费用</w:t>
      </w:r>
      <w:r>
        <w:rPr>
          <w:rFonts w:hint="eastAsia" w:ascii="仿宋" w:hAnsi="仿宋" w:eastAsia="仿宋" w:cs="仿宋"/>
          <w:sz w:val="28"/>
          <w:szCs w:val="28"/>
          <w:highlight w:val="none"/>
        </w:rPr>
        <w:t>。</w:t>
      </w:r>
    </w:p>
    <w:p w14:paraId="4E146DCC">
      <w:pPr>
        <w:keepNext w:val="0"/>
        <w:keepLines w:val="0"/>
        <w:pageBreakBefore w:val="0"/>
        <w:widowControl w:val="0"/>
        <w:numPr>
          <w:ilvl w:val="0"/>
          <w:numId w:val="2"/>
        </w:numPr>
        <w:kinsoku/>
        <w:wordWrap/>
        <w:overflowPunct/>
        <w:topLinePunct w:val="0"/>
        <w:autoSpaceDE/>
        <w:autoSpaceDN/>
        <w:bidi w:val="0"/>
        <w:adjustRightInd/>
        <w:snapToGrid/>
        <w:spacing w:before="120" w:after="120" w:line="360" w:lineRule="auto"/>
        <w:ind w:firstLine="560" w:firstLineChars="200"/>
        <w:jc w:val="left"/>
        <w:textAlignment w:val="auto"/>
        <w:outlineLvl w:val="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新增监控摄像头具体点位：住院部二楼外科病区、三楼康复病区、四楼内科病区及五楼综合护理病区谈话室、手术室医生谈话室、2间手术室各两个，共计14个，保证房间内监控全覆盖、清晰度达到要求，收音清晰，新增的监控视频图像信息纳入机房，单独存储，并确保新增的所有监控摄像头的视频图像信息均能达到3个月及以上的存储时间。</w:t>
      </w:r>
    </w:p>
    <w:p w14:paraId="3F0C22CC">
      <w:pPr>
        <w:keepNext w:val="0"/>
        <w:keepLines w:val="0"/>
        <w:pageBreakBefore w:val="0"/>
        <w:widowControl w:val="0"/>
        <w:numPr>
          <w:ilvl w:val="0"/>
          <w:numId w:val="2"/>
        </w:numPr>
        <w:kinsoku/>
        <w:wordWrap/>
        <w:overflowPunct/>
        <w:topLinePunct w:val="0"/>
        <w:autoSpaceDE/>
        <w:autoSpaceDN/>
        <w:bidi w:val="0"/>
        <w:adjustRightInd/>
        <w:snapToGrid/>
        <w:spacing w:before="120" w:after="120" w:line="360" w:lineRule="auto"/>
        <w:ind w:firstLine="560" w:firstLineChars="200"/>
        <w:jc w:val="left"/>
        <w:textAlignment w:val="auto"/>
        <w:outlineLvl w:val="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新增监控存储设备具体点位：门诊一楼挂号室内所有监控摄像头、急诊挂号室内所有监控摄像头、西药房门诊及急诊发药窗口所有监控摄像头（不包含精麻毒专间）、门诊二楼挂号收费窗口所有监控摄像头的视频图像信息均能达到3个月及以上的存储时间。</w:t>
      </w:r>
    </w:p>
    <w:p w14:paraId="1F11D769">
      <w:pPr>
        <w:keepNext w:val="0"/>
        <w:keepLines w:val="0"/>
        <w:pageBreakBefore w:val="0"/>
        <w:widowControl w:val="0"/>
        <w:numPr>
          <w:ilvl w:val="0"/>
          <w:numId w:val="2"/>
        </w:numPr>
        <w:kinsoku/>
        <w:wordWrap/>
        <w:overflowPunct/>
        <w:topLinePunct w:val="0"/>
        <w:autoSpaceDE/>
        <w:autoSpaceDN/>
        <w:bidi w:val="0"/>
        <w:adjustRightInd/>
        <w:snapToGrid/>
        <w:spacing w:before="120" w:after="120" w:line="360" w:lineRule="auto"/>
        <w:ind w:firstLine="560" w:firstLineChars="200"/>
        <w:jc w:val="left"/>
        <w:textAlignment w:val="auto"/>
        <w:outlineLvl w:val="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新增录像机及其他设备：单位现有的录像机为32路8盘位，接口已全部使用，无法满足现需的调整要求，共计新增3台32路8盘位。其中新增2台32路8盘位录像机用于调整区分医保收费、发药窗口与其他点位视频监控专用；新增1台32路8盘位录像机用于新增的14只监控摄像头的接入，并接入UPS（不间断电源），具体位置为机房。交换机和网线</w:t>
      </w:r>
    </w:p>
    <w:p w14:paraId="5D84EB4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仿宋" w:hAnsi="仿宋" w:eastAsia="仿宋" w:cs="仿宋"/>
          <w:color w:val="FF0000"/>
          <w:sz w:val="28"/>
          <w:szCs w:val="28"/>
          <w:highlight w:val="yellow"/>
          <w:lang w:val="en-US" w:eastAsia="zh-CN"/>
        </w:rPr>
      </w:pPr>
      <w:r>
        <w:rPr>
          <w:rFonts w:hint="eastAsia" w:ascii="仿宋" w:hAnsi="仿宋" w:eastAsia="仿宋" w:cs="仿宋"/>
          <w:sz w:val="28"/>
          <w:szCs w:val="28"/>
          <w:highlight w:val="none"/>
          <w:lang w:val="en-US" w:eastAsia="zh-CN"/>
        </w:rPr>
        <w:t>5、投标单位需要有完整的供货、升级服务能力和售后维修保障能力，以保障招标单位监控升级项目的及时完工，为招标单位正常运行提供安保支持。</w:t>
      </w:r>
    </w:p>
    <w:p w14:paraId="339CFFAE">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560" w:firstLineChars="200"/>
        <w:jc w:val="left"/>
        <w:textAlignment w:val="auto"/>
        <w:outlineLvl w:val="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本次报价包含了设备硬件、软件授权和设备安装调试</w:t>
      </w:r>
      <w:r>
        <w:rPr>
          <w:rFonts w:hint="eastAsia" w:ascii="仿宋" w:hAnsi="仿宋" w:eastAsia="仿宋" w:cs="仿宋"/>
          <w:sz w:val="28"/>
          <w:szCs w:val="28"/>
          <w:lang w:eastAsia="zh-CN"/>
        </w:rPr>
        <w:t>、</w:t>
      </w:r>
      <w:r>
        <w:rPr>
          <w:rFonts w:hint="eastAsia" w:ascii="仿宋" w:hAnsi="仿宋" w:eastAsia="仿宋" w:cs="仿宋"/>
          <w:sz w:val="28"/>
          <w:szCs w:val="28"/>
        </w:rPr>
        <w:t>等所有费用</w:t>
      </w:r>
      <w:r>
        <w:rPr>
          <w:rFonts w:hint="eastAsia" w:ascii="仿宋" w:hAnsi="仿宋" w:eastAsia="仿宋" w:cs="仿宋"/>
          <w:sz w:val="28"/>
          <w:szCs w:val="28"/>
          <w:lang w:eastAsia="zh-CN"/>
        </w:rPr>
        <w:t>，</w:t>
      </w:r>
      <w:r>
        <w:rPr>
          <w:rFonts w:hint="eastAsia" w:ascii="仿宋" w:hAnsi="仿宋" w:eastAsia="仿宋" w:cs="仿宋"/>
          <w:b w:val="0"/>
          <w:bCs w:val="0"/>
          <w:kern w:val="0"/>
          <w:sz w:val="28"/>
          <w:szCs w:val="28"/>
          <w:highlight w:val="none"/>
          <w:lang w:val="en-US" w:eastAsia="zh-CN" w:bidi="ar"/>
        </w:rPr>
        <w:t>并提供设备不少于1年（含）7*24小时免费设备保修和售后现场技术服务等</w:t>
      </w:r>
      <w:r>
        <w:rPr>
          <w:rFonts w:hint="eastAsia" w:ascii="仿宋" w:hAnsi="仿宋" w:eastAsia="仿宋" w:cs="仿宋"/>
          <w:sz w:val="28"/>
          <w:szCs w:val="28"/>
        </w:rPr>
        <w:t>。在项目实施过程中如发现任何漏项和短缺，在采购清单并未列入，但该部分漏项或短缺是满足设备性能和正常运行所必须的，则均应由中标单位负责免费将所漏项或短缺的货物及技术服务等在最短的合理时间内补齐。</w:t>
      </w:r>
    </w:p>
    <w:p w14:paraId="0DB50C44">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560" w:firstLineChars="200"/>
        <w:textAlignment w:val="auto"/>
        <w:outlineLvl w:val="0"/>
        <w:rPr>
          <w:rFonts w:hint="eastAsia" w:ascii="仿宋" w:hAnsi="仿宋" w:eastAsia="仿宋" w:cs="仿宋"/>
          <w:kern w:val="0"/>
          <w:sz w:val="28"/>
          <w:szCs w:val="28"/>
          <w:highlight w:val="none"/>
          <w:lang w:val="en-US" w:eastAsia="zh-CN" w:bidi="ar"/>
        </w:rPr>
      </w:pPr>
      <w:r>
        <w:rPr>
          <w:rFonts w:hint="eastAsia" w:ascii="仿宋" w:hAnsi="仿宋" w:eastAsia="仿宋" w:cs="仿宋"/>
          <w:sz w:val="28"/>
          <w:szCs w:val="28"/>
          <w:lang w:val="en-US" w:eastAsia="zh-CN"/>
        </w:rPr>
        <w:t>7、</w:t>
      </w:r>
      <w:r>
        <w:rPr>
          <w:rFonts w:hint="eastAsia" w:ascii="仿宋" w:hAnsi="仿宋" w:eastAsia="仿宋" w:cs="仿宋"/>
          <w:sz w:val="28"/>
          <w:szCs w:val="28"/>
        </w:rPr>
        <w:t>本项目整体质保期为</w:t>
      </w:r>
      <w:r>
        <w:rPr>
          <w:rFonts w:hint="eastAsia" w:ascii="仿宋" w:hAnsi="仿宋" w:eastAsia="仿宋" w:cs="仿宋"/>
          <w:sz w:val="28"/>
          <w:szCs w:val="28"/>
          <w:lang w:val="en-US" w:eastAsia="zh-CN"/>
        </w:rPr>
        <w:t>一</w:t>
      </w:r>
      <w:r>
        <w:rPr>
          <w:rFonts w:hint="eastAsia" w:ascii="仿宋" w:hAnsi="仿宋" w:eastAsia="仿宋" w:cs="仿宋"/>
          <w:sz w:val="28"/>
          <w:szCs w:val="28"/>
        </w:rPr>
        <w:t>年。网络云存储设备为</w:t>
      </w:r>
      <w:r>
        <w:rPr>
          <w:rFonts w:hint="eastAsia" w:ascii="仿宋" w:hAnsi="仿宋" w:eastAsia="仿宋" w:cs="仿宋"/>
          <w:sz w:val="28"/>
          <w:szCs w:val="28"/>
          <w:lang w:val="en-US" w:eastAsia="zh-CN"/>
        </w:rPr>
        <w:t>一</w:t>
      </w:r>
      <w:r>
        <w:rPr>
          <w:rFonts w:hint="eastAsia" w:ascii="仿宋" w:hAnsi="仿宋" w:eastAsia="仿宋" w:cs="仿宋"/>
          <w:sz w:val="28"/>
          <w:szCs w:val="28"/>
        </w:rPr>
        <w:t>年原厂质保，硬盘为原厂</w:t>
      </w:r>
      <w:r>
        <w:rPr>
          <w:rFonts w:hint="eastAsia" w:ascii="仿宋" w:hAnsi="仿宋" w:eastAsia="仿宋" w:cs="仿宋"/>
          <w:sz w:val="28"/>
          <w:szCs w:val="28"/>
          <w:lang w:val="en-US" w:eastAsia="zh-CN"/>
        </w:rPr>
        <w:t>一</w:t>
      </w:r>
      <w:r>
        <w:rPr>
          <w:rFonts w:hint="eastAsia" w:ascii="仿宋" w:hAnsi="仿宋" w:eastAsia="仿宋" w:cs="仿宋"/>
          <w:sz w:val="28"/>
          <w:szCs w:val="28"/>
        </w:rPr>
        <w:t>年质保（</w:t>
      </w:r>
      <w:r>
        <w:rPr>
          <w:rFonts w:hint="eastAsia" w:ascii="仿宋" w:hAnsi="仿宋" w:eastAsia="仿宋" w:cs="仿宋"/>
          <w:sz w:val="28"/>
          <w:szCs w:val="28"/>
          <w:highlight w:val="none"/>
          <w:lang w:val="en-US" w:eastAsia="zh-CN"/>
        </w:rPr>
        <w:t>项目完成后</w:t>
      </w:r>
      <w:r>
        <w:rPr>
          <w:rFonts w:hint="eastAsia" w:ascii="仿宋" w:hAnsi="仿宋" w:eastAsia="仿宋" w:cs="仿宋"/>
          <w:sz w:val="28"/>
          <w:szCs w:val="28"/>
          <w:highlight w:val="none"/>
        </w:rPr>
        <w:t>需提供原厂授权质保函并加盖制造商公章，如不满足将会被废标</w:t>
      </w:r>
      <w:r>
        <w:rPr>
          <w:rFonts w:hint="eastAsia" w:ascii="仿宋" w:hAnsi="仿宋" w:eastAsia="仿宋" w:cs="仿宋"/>
          <w:sz w:val="28"/>
          <w:szCs w:val="28"/>
        </w:rPr>
        <w:t>）。</w:t>
      </w:r>
      <w:r>
        <w:rPr>
          <w:rFonts w:hint="eastAsia" w:ascii="仿宋" w:hAnsi="仿宋" w:eastAsia="仿宋" w:cs="仿宋"/>
          <w:kern w:val="0"/>
          <w:sz w:val="28"/>
          <w:szCs w:val="28"/>
          <w:highlight w:val="none"/>
          <w:lang w:val="en-US" w:eastAsia="zh-CN" w:bidi="ar"/>
        </w:rPr>
        <w:t xml:space="preserve">保（质）修期内出现质量问题(包括发现所供产品非原厂正品)，应免费更换。 </w:t>
      </w:r>
    </w:p>
    <w:p w14:paraId="1E325210">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560" w:firstLineChars="200"/>
        <w:textAlignment w:val="auto"/>
        <w:outlineLvl w:val="0"/>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8、供应商必须满足以上全部商务条款,否则询价无效。建议参与询价前与业主方充分沟通，供应商参加此次询价，即视为完全了解、明白并同意上述要求。一旦发现虚假响应，即使确认成交也将被取消供货资格，采购人有权追究供应商责任并向监管部门投诉</w:t>
      </w:r>
    </w:p>
    <w:p w14:paraId="7FB884AF">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560" w:firstLineChars="200"/>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9、维修响应时间：服务队伍配有专人和专线电话。系统出现故障30分钟内响应、1小时内到达现场，所有设备在质量保质期内免费维修，维护，软件提供免费升级。</w:t>
      </w:r>
    </w:p>
    <w:p w14:paraId="6014ECE0">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560" w:firstLineChars="200"/>
        <w:textAlignment w:val="auto"/>
        <w:outlineLvl w:val="0"/>
        <w:rPr>
          <w:rFonts w:hint="eastAsia" w:ascii="仿宋" w:hAnsi="仿宋" w:eastAsia="仿宋" w:cs="仿宋"/>
          <w:sz w:val="28"/>
          <w:szCs w:val="28"/>
          <w:highlight w:val="yellow"/>
        </w:rPr>
      </w:pPr>
      <w:r>
        <w:rPr>
          <w:rFonts w:hint="eastAsia" w:ascii="仿宋" w:hAnsi="仿宋" w:eastAsia="仿宋" w:cs="仿宋"/>
          <w:sz w:val="28"/>
          <w:szCs w:val="28"/>
          <w:lang w:val="en-US" w:eastAsia="zh-CN"/>
        </w:rPr>
        <w:t>10、</w:t>
      </w:r>
      <w:r>
        <w:rPr>
          <w:rFonts w:hint="eastAsia" w:ascii="仿宋" w:hAnsi="仿宋" w:eastAsia="仿宋" w:cs="仿宋"/>
          <w:sz w:val="28"/>
          <w:szCs w:val="28"/>
        </w:rPr>
        <w:t>投标报价（总价）不得高于控制总价</w:t>
      </w:r>
      <w:r>
        <w:rPr>
          <w:rFonts w:hint="eastAsia" w:ascii="仿宋" w:hAnsi="仿宋" w:eastAsia="仿宋" w:cs="仿宋"/>
          <w:sz w:val="28"/>
          <w:szCs w:val="28"/>
          <w:lang w:val="en-US" w:eastAsia="zh-CN"/>
        </w:rPr>
        <w:t>50000</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283B9807">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560" w:firstLineChars="200"/>
        <w:textAlignment w:val="auto"/>
        <w:outlineLvl w:val="0"/>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项目工期为合同签订后的15个工作日内完成设备的供货、安装和调试。</w:t>
      </w:r>
    </w:p>
    <w:p w14:paraId="67AFDE84">
      <w:pPr>
        <w:spacing w:line="360" w:lineRule="auto"/>
        <w:ind w:firstLine="562" w:firstLineChars="200"/>
        <w:rPr>
          <w:rFonts w:hint="eastAsia" w:ascii="仿宋_GB2312" w:hAnsi="仿宋" w:eastAsia="仿宋_GB2312" w:cs="仿宋"/>
          <w:b/>
          <w:bCs/>
          <w:sz w:val="28"/>
          <w:szCs w:val="28"/>
        </w:rPr>
      </w:pPr>
      <w:r>
        <w:rPr>
          <w:rFonts w:hint="eastAsia" w:ascii="仿宋_GB2312" w:hAnsi="仿宋" w:eastAsia="仿宋_GB2312" w:cs="仿宋"/>
          <w:b/>
          <w:bCs/>
          <w:sz w:val="28"/>
          <w:szCs w:val="28"/>
          <w:lang w:val="en-US" w:eastAsia="zh-CN"/>
        </w:rPr>
        <w:t>五、</w:t>
      </w:r>
      <w:r>
        <w:rPr>
          <w:rFonts w:hint="eastAsia" w:ascii="仿宋_GB2312" w:hAnsi="仿宋" w:eastAsia="仿宋_GB2312" w:cs="仿宋"/>
          <w:b/>
          <w:bCs/>
          <w:sz w:val="28"/>
          <w:szCs w:val="28"/>
        </w:rPr>
        <w:t>需提供资料</w:t>
      </w:r>
    </w:p>
    <w:p w14:paraId="69EF02D2">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1.法定代表人授权书、身份证及联系方式加盖单位公章；</w:t>
      </w:r>
    </w:p>
    <w:p w14:paraId="1D3C4781">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2.具有资质的公司营业执照；</w:t>
      </w:r>
    </w:p>
    <w:p w14:paraId="081FA9D2">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3.具有履行合同所必需的产品和专业技术能力的承诺函；</w:t>
      </w:r>
    </w:p>
    <w:p w14:paraId="585D79D6">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4.投标人承诺函；</w:t>
      </w:r>
    </w:p>
    <w:p w14:paraId="638A4965">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5.维修人员资质证明；</w:t>
      </w:r>
    </w:p>
    <w:p w14:paraId="5E56749E">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6.业绩证明；</w:t>
      </w:r>
    </w:p>
    <w:p w14:paraId="1741D7E1">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7.中小企业声明函；</w:t>
      </w:r>
    </w:p>
    <w:p w14:paraId="7352DE0B">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8.技术响应及建议表；</w:t>
      </w:r>
    </w:p>
    <w:p w14:paraId="20230450">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9.详细报价单；</w:t>
      </w:r>
    </w:p>
    <w:p w14:paraId="535EEB38">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10.供应商认为需要的其他文件资料。</w:t>
      </w:r>
    </w:p>
    <w:p w14:paraId="5F6C359E">
      <w:pPr>
        <w:spacing w:line="360" w:lineRule="auto"/>
        <w:ind w:firstLine="514" w:firstLineChars="200"/>
        <w:rPr>
          <w:rFonts w:hint="eastAsia" w:ascii="仿宋_GB2312" w:hAnsi="仿宋" w:eastAsia="仿宋_GB2312" w:cs="仿宋"/>
          <w:b/>
          <w:bCs/>
          <w:spacing w:val="-12"/>
          <w:sz w:val="28"/>
          <w:szCs w:val="28"/>
        </w:rPr>
      </w:pPr>
      <w:r>
        <w:rPr>
          <w:rFonts w:hint="eastAsia" w:ascii="仿宋_GB2312" w:hAnsi="仿宋" w:eastAsia="仿宋_GB2312" w:cs="仿宋"/>
          <w:b/>
          <w:bCs/>
          <w:spacing w:val="-12"/>
          <w:sz w:val="28"/>
          <w:szCs w:val="28"/>
          <w:lang w:val="en-US" w:eastAsia="zh-CN"/>
        </w:rPr>
        <w:t>六、</w:t>
      </w:r>
      <w:r>
        <w:rPr>
          <w:rFonts w:hint="eastAsia" w:ascii="仿宋_GB2312" w:hAnsi="仿宋" w:eastAsia="仿宋_GB2312" w:cs="仿宋"/>
          <w:b/>
          <w:bCs/>
          <w:spacing w:val="-12"/>
          <w:sz w:val="28"/>
          <w:szCs w:val="28"/>
        </w:rPr>
        <w:t>合同签订</w:t>
      </w:r>
    </w:p>
    <w:p w14:paraId="5551CD7B">
      <w:pPr>
        <w:spacing w:line="360" w:lineRule="auto"/>
        <w:ind w:firstLine="512" w:firstLineChars="200"/>
        <w:rPr>
          <w:rFonts w:hint="eastAsia" w:ascii="仿宋_GB2312" w:hAnsi="仿宋" w:eastAsia="仿宋_GB2312" w:cs="仿宋"/>
          <w:spacing w:val="-12"/>
          <w:sz w:val="28"/>
          <w:szCs w:val="28"/>
          <w:lang w:val="zh-CN"/>
        </w:rPr>
      </w:pPr>
      <w:r>
        <w:rPr>
          <w:rFonts w:hint="eastAsia" w:ascii="仿宋_GB2312" w:hAnsi="仿宋" w:eastAsia="仿宋_GB2312" w:cs="仿宋"/>
          <w:spacing w:val="-12"/>
          <w:sz w:val="28"/>
          <w:szCs w:val="28"/>
          <w:lang w:val="zh-CN"/>
        </w:rPr>
        <w:t>1.中标结束后</w:t>
      </w:r>
      <w:r>
        <w:rPr>
          <w:rFonts w:hint="eastAsia" w:ascii="仿宋_GB2312" w:hAnsi="仿宋" w:eastAsia="仿宋_GB2312" w:cs="仿宋"/>
          <w:spacing w:val="-12"/>
          <w:sz w:val="28"/>
          <w:szCs w:val="28"/>
        </w:rPr>
        <w:t>7</w:t>
      </w:r>
      <w:r>
        <w:rPr>
          <w:rFonts w:hint="eastAsia" w:ascii="仿宋_GB2312" w:hAnsi="仿宋" w:eastAsia="仿宋_GB2312" w:cs="仿宋"/>
          <w:spacing w:val="-12"/>
          <w:sz w:val="28"/>
          <w:szCs w:val="28"/>
          <w:lang w:val="zh-CN"/>
        </w:rPr>
        <w:t>个自然日内签订合同；</w:t>
      </w:r>
    </w:p>
    <w:p w14:paraId="3E44D4C8">
      <w:pPr>
        <w:spacing w:line="360" w:lineRule="auto"/>
        <w:ind w:firstLine="512" w:firstLineChars="200"/>
        <w:rPr>
          <w:rFonts w:hint="eastAsia" w:ascii="仿宋_GB2312" w:hAnsi="仿宋" w:eastAsia="仿宋_GB2312" w:cs="仿宋"/>
          <w:spacing w:val="-12"/>
          <w:sz w:val="28"/>
          <w:szCs w:val="28"/>
          <w:lang w:val="zh-CN"/>
        </w:rPr>
      </w:pPr>
      <w:r>
        <w:rPr>
          <w:rFonts w:hint="eastAsia" w:ascii="仿宋_GB2312" w:hAnsi="仿宋" w:eastAsia="仿宋_GB2312" w:cs="仿宋"/>
          <w:spacing w:val="-12"/>
          <w:sz w:val="28"/>
          <w:szCs w:val="28"/>
          <w:lang w:val="zh-CN"/>
        </w:rPr>
        <w:t>2.逾期不按要求签订合同或未按照要求时间完成相关工作的，可视作不诚信行为，采购方有权单方面作出中标方自动放弃中标结果或自动终止合同的处理，性质恶劣，严重影响采购方正常工作或被上级及相关部门查实处罚的，采购方有权向政府采购管理监督部门发起将中标方列入黑名单的申请。签订合同前须提供相关资质等材料供查验。</w:t>
      </w:r>
    </w:p>
    <w:p w14:paraId="093FD3C5">
      <w:pPr>
        <w:spacing w:line="360" w:lineRule="auto"/>
        <w:ind w:firstLine="514" w:firstLineChars="200"/>
        <w:rPr>
          <w:rFonts w:hint="eastAsia" w:ascii="仿宋_GB2312" w:hAnsi="仿宋" w:eastAsia="仿宋_GB2312" w:cs="仿宋"/>
          <w:b/>
          <w:bCs/>
          <w:spacing w:val="-12"/>
          <w:sz w:val="28"/>
          <w:szCs w:val="28"/>
        </w:rPr>
      </w:pPr>
      <w:r>
        <w:rPr>
          <w:rFonts w:hint="eastAsia" w:ascii="仿宋_GB2312" w:hAnsi="仿宋" w:eastAsia="仿宋_GB2312" w:cs="仿宋"/>
          <w:b/>
          <w:bCs/>
          <w:spacing w:val="-12"/>
          <w:sz w:val="28"/>
          <w:szCs w:val="28"/>
          <w:lang w:val="en-US" w:eastAsia="zh-CN"/>
        </w:rPr>
        <w:t>七、</w:t>
      </w:r>
      <w:r>
        <w:rPr>
          <w:rFonts w:hint="eastAsia" w:ascii="仿宋_GB2312" w:hAnsi="仿宋" w:eastAsia="仿宋_GB2312" w:cs="仿宋"/>
          <w:b/>
          <w:bCs/>
          <w:spacing w:val="-12"/>
          <w:sz w:val="28"/>
          <w:szCs w:val="28"/>
        </w:rPr>
        <w:t>违约责任</w:t>
      </w:r>
    </w:p>
    <w:p w14:paraId="70ABD34D">
      <w:pPr>
        <w:spacing w:line="360" w:lineRule="auto"/>
        <w:ind w:firstLine="512" w:firstLineChars="200"/>
        <w:rPr>
          <w:rFonts w:hint="eastAsia" w:ascii="仿宋_GB2312" w:hAnsi="仿宋" w:eastAsia="仿宋_GB2312" w:cs="仿宋"/>
          <w:spacing w:val="-12"/>
          <w:sz w:val="28"/>
          <w:szCs w:val="28"/>
          <w:lang w:val="zh-CN"/>
        </w:rPr>
      </w:pPr>
      <w:r>
        <w:rPr>
          <w:rFonts w:hint="eastAsia" w:ascii="仿宋_GB2312" w:hAnsi="仿宋" w:eastAsia="仿宋_GB2312" w:cs="仿宋"/>
          <w:spacing w:val="-12"/>
          <w:sz w:val="28"/>
          <w:szCs w:val="28"/>
          <w:lang w:val="zh-CN"/>
        </w:rPr>
        <w:t>1.</w:t>
      </w:r>
      <w:r>
        <w:rPr>
          <w:rFonts w:hint="eastAsia" w:ascii="仿宋_GB2312" w:hAnsi="仿宋" w:eastAsia="仿宋_GB2312" w:cs="仿宋"/>
          <w:sz w:val="28"/>
          <w:szCs w:val="28"/>
        </w:rPr>
        <w:t>在保修服务期内接报修电话后，未在半小时内响应，或未在1小时内派工程师到达现场实施维修，</w:t>
      </w:r>
      <w:r>
        <w:rPr>
          <w:rFonts w:hint="eastAsia" w:ascii="仿宋_GB2312" w:hAnsi="仿宋" w:eastAsia="仿宋_GB2312" w:cs="仿宋"/>
          <w:spacing w:val="-12"/>
          <w:sz w:val="28"/>
          <w:szCs w:val="28"/>
          <w:lang w:val="zh-CN"/>
        </w:rPr>
        <w:t>导致</w:t>
      </w:r>
      <w:r>
        <w:rPr>
          <w:rFonts w:hint="eastAsia" w:ascii="仿宋_GB2312" w:hAnsi="仿宋" w:eastAsia="仿宋_GB2312" w:cs="仿宋"/>
          <w:spacing w:val="-12"/>
          <w:sz w:val="28"/>
          <w:szCs w:val="28"/>
        </w:rPr>
        <w:t>业务无法正常开展24小时</w:t>
      </w:r>
      <w:r>
        <w:rPr>
          <w:rFonts w:hint="eastAsia" w:ascii="仿宋_GB2312" w:hAnsi="仿宋" w:eastAsia="仿宋_GB2312" w:cs="仿宋"/>
          <w:spacing w:val="-12"/>
          <w:sz w:val="28"/>
          <w:szCs w:val="28"/>
          <w:lang w:val="zh-CN"/>
        </w:rPr>
        <w:t>以上的，采购方有权通知中标方单方面终止合同，同时采购方不承担责任，中标方须承担采购方由此引起的全部损失。</w:t>
      </w:r>
    </w:p>
    <w:p w14:paraId="0AD62DA8">
      <w:pPr>
        <w:spacing w:line="360" w:lineRule="auto"/>
        <w:ind w:firstLine="512" w:firstLineChars="200"/>
        <w:rPr>
          <w:rFonts w:hint="eastAsia" w:ascii="仿宋_GB2312" w:hAnsi="仿宋" w:eastAsia="仿宋_GB2312" w:cs="仿宋"/>
          <w:spacing w:val="-12"/>
          <w:sz w:val="28"/>
          <w:szCs w:val="28"/>
          <w:lang w:val="zh-CN"/>
        </w:rPr>
      </w:pPr>
      <w:r>
        <w:rPr>
          <w:rFonts w:hint="eastAsia" w:ascii="仿宋_GB2312" w:hAnsi="仿宋" w:eastAsia="仿宋_GB2312" w:cs="仿宋"/>
          <w:spacing w:val="-12"/>
          <w:sz w:val="28"/>
          <w:szCs w:val="28"/>
          <w:lang w:val="zh-CN"/>
        </w:rPr>
        <w:t>2.除不可抗力和国家及地方重大法律法规政策调整外，如中标方发生不能按期完成项目任务，采购方发生中途变更等情况，应及时以书面形式通知对方。双方应本着友好的态度进行协商，妥善解决。如协商无效，按规定处以违约金。</w:t>
      </w:r>
    </w:p>
    <w:p w14:paraId="55A24319">
      <w:pPr>
        <w:spacing w:line="360" w:lineRule="auto"/>
        <w:ind w:firstLine="512" w:firstLineChars="200"/>
        <w:rPr>
          <w:rFonts w:ascii="仿宋_GB2312" w:hAnsi="仿宋" w:eastAsia="仿宋_GB2312" w:cs="仿宋"/>
          <w:spacing w:val="-12"/>
          <w:sz w:val="28"/>
          <w:szCs w:val="28"/>
          <w:lang w:val="zh-CN"/>
        </w:rPr>
      </w:pPr>
      <w:r>
        <w:rPr>
          <w:rFonts w:hint="eastAsia" w:ascii="仿宋_GB2312" w:hAnsi="仿宋" w:eastAsia="仿宋_GB2312" w:cs="仿宋"/>
          <w:spacing w:val="-12"/>
          <w:sz w:val="28"/>
          <w:szCs w:val="28"/>
          <w:lang w:val="zh-CN"/>
        </w:rPr>
        <w:t>3.违约处理：对于开机率低于98% 的每一个百分点, 维修合同期限将相应延长7 个日历天；因故延迟提供维保维修服务的，每延迟一天，合同维保服务时间自动延长三天，且不另行增加费用；因中标方实施或提供产品质量、服务、不匹配、不到位引起采购方损失的，由中标方承担全部责任（包括赔偿责任）。中标方原因导致系统未能够正常使用或及时组织维修的，采购方有权要求中标方支付合同价每天0.2%的违约金；未能在规定时间内及时响应或者到场维修提供技术支持的，第一次扣发合同价0.1%的违约金,第二次扣发0.2%的违约金,第三次扣发0.3%的违约金，以此递增类推；同时采购方在中标方未及时响应的情况下，有权请第三方介入技术支持和维修、检测，中标方另需承担因此产生的第三方机构技术支持/维修等费用,按实予以赔偿。如果出现中标方延迟完成项目维保、检测等服务的，延迟提供维保服务15天及以上或延迟检测服务5次及以上等严重违约行为的，采购方有权向财政部门和招投标监督办等上级部门汇报中标方违约行为，并有建议列入不诚信企业黑名单的权利，并有权单方面终止合同，并不支付剩余合同款项，其中本项目不单独设置履约保证金，项目余款中可直接扣除违约金，不足支付的，仍需要另行全额缴纳。</w:t>
      </w:r>
    </w:p>
    <w:p w14:paraId="6C506321">
      <w:pPr>
        <w:spacing w:line="360" w:lineRule="auto"/>
        <w:ind w:firstLine="514" w:firstLineChars="200"/>
        <w:rPr>
          <w:rFonts w:ascii="仿宋_GB2312" w:hAnsi="仿宋" w:eastAsia="仿宋_GB2312" w:cs="仿宋"/>
          <w:b/>
          <w:bCs/>
          <w:spacing w:val="-12"/>
          <w:sz w:val="28"/>
          <w:szCs w:val="28"/>
          <w:lang w:val="zh-CN"/>
        </w:rPr>
      </w:pPr>
      <w:r>
        <w:rPr>
          <w:rFonts w:hint="eastAsia" w:ascii="仿宋_GB2312" w:hAnsi="仿宋" w:eastAsia="仿宋_GB2312" w:cs="仿宋"/>
          <w:b/>
          <w:bCs/>
          <w:spacing w:val="-12"/>
          <w:sz w:val="28"/>
          <w:szCs w:val="28"/>
          <w:lang w:val="en-US" w:eastAsia="zh-CN"/>
        </w:rPr>
        <w:t>八、</w:t>
      </w:r>
      <w:r>
        <w:rPr>
          <w:rFonts w:hint="eastAsia" w:ascii="仿宋_GB2312" w:hAnsi="仿宋" w:eastAsia="仿宋_GB2312" w:cs="仿宋"/>
          <w:b/>
          <w:bCs/>
          <w:spacing w:val="-12"/>
          <w:sz w:val="28"/>
          <w:szCs w:val="28"/>
          <w:lang w:val="zh-CN"/>
        </w:rPr>
        <w:t>付款要求</w:t>
      </w:r>
    </w:p>
    <w:p w14:paraId="7DE49ABF">
      <w:pPr>
        <w:spacing w:line="360" w:lineRule="auto"/>
        <w:ind w:firstLine="512" w:firstLineChars="200"/>
        <w:rPr>
          <w:rFonts w:hint="eastAsia" w:ascii="仿宋_GB2312" w:hAnsi="仿宋" w:eastAsia="仿宋_GB2312" w:cs="仿宋"/>
          <w:spacing w:val="-12"/>
          <w:sz w:val="28"/>
          <w:szCs w:val="28"/>
          <w:lang w:val="zh-CN"/>
        </w:rPr>
      </w:pPr>
      <w:r>
        <w:rPr>
          <w:rFonts w:hint="eastAsia" w:ascii="仿宋_GB2312" w:hAnsi="仿宋" w:eastAsia="仿宋_GB2312" w:cs="仿宋"/>
          <w:spacing w:val="-12"/>
          <w:sz w:val="28"/>
          <w:szCs w:val="28"/>
          <w:lang w:val="zh-CN"/>
        </w:rPr>
        <w:t>预算金额</w:t>
      </w:r>
      <w:r>
        <w:rPr>
          <w:rFonts w:hint="eastAsia" w:ascii="仿宋_GB2312" w:hAnsi="仿宋" w:eastAsia="仿宋_GB2312" w:cs="仿宋"/>
          <w:spacing w:val="-12"/>
          <w:sz w:val="28"/>
          <w:szCs w:val="28"/>
          <w:lang w:val="en-US" w:eastAsia="zh-CN"/>
        </w:rPr>
        <w:t>50000</w:t>
      </w:r>
      <w:r>
        <w:rPr>
          <w:rFonts w:hint="eastAsia" w:ascii="仿宋_GB2312" w:hAnsi="仿宋" w:eastAsia="仿宋_GB2312" w:cs="仿宋"/>
          <w:spacing w:val="-12"/>
          <w:sz w:val="28"/>
          <w:szCs w:val="28"/>
          <w:lang w:val="zh-CN"/>
        </w:rPr>
        <w:t>元，维保合同时间</w:t>
      </w:r>
      <w:r>
        <w:rPr>
          <w:rFonts w:hint="eastAsia" w:ascii="仿宋_GB2312" w:hAnsi="仿宋" w:eastAsia="仿宋_GB2312" w:cs="仿宋"/>
          <w:spacing w:val="-12"/>
          <w:sz w:val="28"/>
          <w:szCs w:val="28"/>
          <w:lang w:val="en-US" w:eastAsia="zh-CN"/>
        </w:rPr>
        <w:t>一</w:t>
      </w:r>
      <w:r>
        <w:rPr>
          <w:rFonts w:hint="eastAsia" w:ascii="仿宋_GB2312" w:hAnsi="仿宋" w:eastAsia="仿宋_GB2312" w:cs="仿宋"/>
          <w:spacing w:val="-12"/>
          <w:sz w:val="28"/>
          <w:szCs w:val="28"/>
          <w:lang w:val="zh-CN"/>
        </w:rPr>
        <w:t>年；</w:t>
      </w:r>
      <w:r>
        <w:rPr>
          <w:rFonts w:hint="eastAsia" w:ascii="仿宋_GB2312" w:hAnsi="仿宋" w:eastAsia="仿宋_GB2312" w:cs="仿宋"/>
          <w:spacing w:val="-12"/>
          <w:sz w:val="28"/>
          <w:szCs w:val="28"/>
          <w:lang w:val="en-US" w:eastAsia="zh-CN"/>
        </w:rPr>
        <w:t>完成安装并验收合格后三个月内支付</w:t>
      </w:r>
      <w:r>
        <w:rPr>
          <w:rFonts w:hint="eastAsia" w:ascii="仿宋_GB2312" w:hAnsi="仿宋" w:eastAsia="仿宋_GB2312" w:cs="仿宋"/>
          <w:spacing w:val="-12"/>
          <w:sz w:val="28"/>
          <w:szCs w:val="28"/>
          <w:lang w:val="zh-CN"/>
        </w:rPr>
        <w:t>合同款项</w:t>
      </w:r>
      <w:r>
        <w:rPr>
          <w:rFonts w:hint="eastAsia" w:ascii="仿宋_GB2312" w:hAnsi="仿宋" w:eastAsia="仿宋_GB2312" w:cs="仿宋"/>
          <w:spacing w:val="-12"/>
          <w:sz w:val="28"/>
          <w:szCs w:val="28"/>
          <w:lang w:val="en-US" w:eastAsia="zh-CN"/>
        </w:rPr>
        <w:t>的90%，质保期满后支付余款</w:t>
      </w:r>
      <w:r>
        <w:rPr>
          <w:rFonts w:hint="eastAsia" w:ascii="仿宋_GB2312" w:hAnsi="仿宋" w:eastAsia="仿宋_GB2312" w:cs="仿宋"/>
          <w:spacing w:val="-12"/>
          <w:sz w:val="28"/>
          <w:szCs w:val="28"/>
          <w:lang w:val="zh-CN"/>
        </w:rPr>
        <w:t>。</w:t>
      </w:r>
    </w:p>
    <w:p w14:paraId="4CF4F158">
      <w:pPr>
        <w:spacing w:line="360" w:lineRule="auto"/>
        <w:ind w:firstLine="514" w:firstLineChars="200"/>
        <w:rPr>
          <w:rFonts w:hint="eastAsia" w:ascii="仿宋_GB2312" w:hAnsi="仿宋" w:eastAsia="仿宋_GB2312" w:cs="仿宋"/>
          <w:b/>
          <w:bCs/>
          <w:spacing w:val="-12"/>
          <w:sz w:val="28"/>
          <w:szCs w:val="28"/>
        </w:rPr>
      </w:pPr>
      <w:r>
        <w:rPr>
          <w:rFonts w:hint="eastAsia" w:ascii="仿宋_GB2312" w:hAnsi="仿宋" w:eastAsia="仿宋_GB2312" w:cs="仿宋"/>
          <w:b/>
          <w:bCs/>
          <w:spacing w:val="-12"/>
          <w:sz w:val="28"/>
          <w:szCs w:val="28"/>
          <w:lang w:val="en-US" w:eastAsia="zh-CN"/>
        </w:rPr>
        <w:t>九、</w:t>
      </w:r>
      <w:r>
        <w:rPr>
          <w:rFonts w:hint="eastAsia" w:ascii="仿宋_GB2312" w:hAnsi="仿宋" w:eastAsia="仿宋_GB2312" w:cs="仿宋"/>
          <w:b/>
          <w:bCs/>
          <w:spacing w:val="-12"/>
          <w:sz w:val="28"/>
          <w:szCs w:val="28"/>
        </w:rPr>
        <w:t>特别说明</w:t>
      </w:r>
    </w:p>
    <w:p w14:paraId="6BDB9FF2">
      <w:pPr>
        <w:spacing w:line="360" w:lineRule="auto"/>
        <w:ind w:firstLine="512" w:firstLineChars="200"/>
        <w:rPr>
          <w:rFonts w:hint="eastAsia" w:ascii="仿宋_GB2312" w:hAnsi="仿宋" w:eastAsia="仿宋_GB2312" w:cs="仿宋"/>
          <w:spacing w:val="-12"/>
          <w:sz w:val="28"/>
          <w:szCs w:val="28"/>
          <w:lang w:val="zh-CN"/>
        </w:rPr>
      </w:pPr>
      <w:r>
        <w:rPr>
          <w:rFonts w:hint="eastAsia" w:ascii="仿宋_GB2312" w:hAnsi="仿宋" w:eastAsia="仿宋_GB2312" w:cs="仿宋"/>
          <w:spacing w:val="-12"/>
          <w:sz w:val="28"/>
          <w:szCs w:val="28"/>
          <w:lang w:val="zh-CN"/>
        </w:rPr>
        <w:t>1.中标方未能够在规定时间内完成维保或检测服务等工作的，视作虚假应标，取消中标及签订合同资格，采购方有权单方面终止合同，并有权向政府采购监督部门及招投标监督办建议将中标方列入黑名单管理。</w:t>
      </w:r>
    </w:p>
    <w:p w14:paraId="63940517">
      <w:pPr>
        <w:spacing w:line="360" w:lineRule="auto"/>
        <w:ind w:firstLine="512" w:firstLineChars="200"/>
        <w:rPr>
          <w:rFonts w:hint="eastAsia" w:ascii="仿宋_GB2312" w:hAnsi="仿宋" w:eastAsia="仿宋_GB2312" w:cs="仿宋"/>
          <w:spacing w:val="-12"/>
          <w:sz w:val="28"/>
          <w:szCs w:val="28"/>
          <w:lang w:val="zh-CN"/>
        </w:rPr>
      </w:pPr>
      <w:r>
        <w:rPr>
          <w:rFonts w:hint="eastAsia" w:ascii="仿宋_GB2312" w:hAnsi="仿宋" w:eastAsia="仿宋_GB2312" w:cs="仿宋"/>
          <w:spacing w:val="-12"/>
          <w:sz w:val="28"/>
          <w:szCs w:val="28"/>
          <w:lang w:val="zh-CN"/>
        </w:rPr>
        <w:t>2.综合验收标准。提供首次维保服务及相关报告之日起，计算维保起始时间。本项目不接受负偏离投标，否则视同无效投标。</w:t>
      </w:r>
    </w:p>
    <w:p w14:paraId="590AA480">
      <w:pPr>
        <w:spacing w:line="360" w:lineRule="auto"/>
        <w:ind w:firstLine="512" w:firstLineChars="200"/>
        <w:rPr>
          <w:rFonts w:ascii="仿宋" w:hAnsi="仿宋" w:eastAsia="仿宋" w:cs="仿宋"/>
          <w:spacing w:val="-12"/>
          <w:sz w:val="28"/>
          <w:szCs w:val="28"/>
          <w:lang w:val="zh-CN"/>
        </w:rPr>
      </w:pPr>
      <w:r>
        <w:rPr>
          <w:rFonts w:hint="eastAsia" w:ascii="仿宋_GB2312" w:hAnsi="仿宋" w:eastAsia="仿宋_GB2312" w:cs="仿宋"/>
          <w:spacing w:val="-12"/>
          <w:sz w:val="28"/>
          <w:szCs w:val="28"/>
          <w:lang w:val="zh-CN"/>
        </w:rPr>
        <w:t>3.本项目的招标（采购）文件、中标的投标文件、投标修改文件、评标过程中有关澄清文件、经双方签字的询标纪要、中标通知书等均作为本项目合同不可分割的一部分，与本项目合同具有同等法律效力。投标文件中明确表示完全响应采购文件或（且）无负偏离，若以上各个文件之间、及与本项目合同之间有差异的，须按照有利于采购方的原则执行最优条款（本项目不允许负偏离，投标即表示无条件同</w:t>
      </w:r>
      <w:r>
        <w:rPr>
          <w:rFonts w:hint="eastAsia" w:ascii="仿宋" w:hAnsi="仿宋" w:eastAsia="仿宋" w:cs="仿宋"/>
          <w:spacing w:val="-12"/>
          <w:sz w:val="28"/>
          <w:szCs w:val="28"/>
          <w:lang w:val="zh-CN"/>
        </w:rPr>
        <w:t>意接受采购文件等所有条款要求）。</w:t>
      </w:r>
    </w:p>
    <w:sectPr>
      <w:headerReference r:id="rId4" w:type="first"/>
      <w:footerReference r:id="rId5" w:type="default"/>
      <w:headerReference r:id="rId3" w:type="even"/>
      <w:footerReference r:id="rId6" w:type="even"/>
      <w:pgSz w:w="11906" w:h="16838"/>
      <w:pgMar w:top="1701" w:right="1701" w:bottom="1247" w:left="1701" w:header="851" w:footer="737" w:gutter="0"/>
      <w:pgNumType w:start="4"/>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4925">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4058B">
    <w:pPr>
      <w:pStyle w:val="11"/>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62340167">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1FE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90608">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C7E01"/>
    <w:multiLevelType w:val="singleLevel"/>
    <w:tmpl w:val="D0FC7E01"/>
    <w:lvl w:ilvl="0" w:tentative="0">
      <w:start w:val="1"/>
      <w:numFmt w:val="decimal"/>
      <w:suff w:val="nothing"/>
      <w:lvlText w:val="%1、"/>
      <w:lvlJc w:val="left"/>
    </w:lvl>
  </w:abstractNum>
  <w:abstractNum w:abstractNumId="1">
    <w:nsid w:val="1D7DBB32"/>
    <w:multiLevelType w:val="singleLevel"/>
    <w:tmpl w:val="1D7DBB3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lZjFjZjFlMzI4NGY0MTk4NWVhM2QyZjJlMGI2OWYifQ=="/>
  </w:docVars>
  <w:rsids>
    <w:rsidRoot w:val="00AB62CE"/>
    <w:rsid w:val="00014D90"/>
    <w:rsid w:val="00176759"/>
    <w:rsid w:val="00263A09"/>
    <w:rsid w:val="00341754"/>
    <w:rsid w:val="005634E9"/>
    <w:rsid w:val="006C5874"/>
    <w:rsid w:val="006C7588"/>
    <w:rsid w:val="0089189B"/>
    <w:rsid w:val="008B1325"/>
    <w:rsid w:val="00950B4C"/>
    <w:rsid w:val="00A61A33"/>
    <w:rsid w:val="00A6655D"/>
    <w:rsid w:val="00AB62CE"/>
    <w:rsid w:val="00BB150F"/>
    <w:rsid w:val="00C03D75"/>
    <w:rsid w:val="00C22C12"/>
    <w:rsid w:val="00D71967"/>
    <w:rsid w:val="00D76975"/>
    <w:rsid w:val="00F53374"/>
    <w:rsid w:val="018C33F1"/>
    <w:rsid w:val="01CF70C9"/>
    <w:rsid w:val="0362709A"/>
    <w:rsid w:val="03891766"/>
    <w:rsid w:val="03E55AAA"/>
    <w:rsid w:val="04A1592D"/>
    <w:rsid w:val="05D515D8"/>
    <w:rsid w:val="062F7C5E"/>
    <w:rsid w:val="06514C09"/>
    <w:rsid w:val="07752A1A"/>
    <w:rsid w:val="07EB6D9E"/>
    <w:rsid w:val="08283748"/>
    <w:rsid w:val="08C93216"/>
    <w:rsid w:val="093323A4"/>
    <w:rsid w:val="097C3D4B"/>
    <w:rsid w:val="0A1878E7"/>
    <w:rsid w:val="0A9E1F57"/>
    <w:rsid w:val="0AAF79EA"/>
    <w:rsid w:val="0ABA3428"/>
    <w:rsid w:val="0BDD62BA"/>
    <w:rsid w:val="0C0A543D"/>
    <w:rsid w:val="0C7F4342"/>
    <w:rsid w:val="0CC21A95"/>
    <w:rsid w:val="0D365C1E"/>
    <w:rsid w:val="0E5232CD"/>
    <w:rsid w:val="0E9231AA"/>
    <w:rsid w:val="11B041DC"/>
    <w:rsid w:val="11D17B6B"/>
    <w:rsid w:val="11F176C8"/>
    <w:rsid w:val="132F6614"/>
    <w:rsid w:val="13FB15C6"/>
    <w:rsid w:val="145E2246"/>
    <w:rsid w:val="16A14DF1"/>
    <w:rsid w:val="17942D2F"/>
    <w:rsid w:val="17975D3E"/>
    <w:rsid w:val="1B5A7EF2"/>
    <w:rsid w:val="1BF870B5"/>
    <w:rsid w:val="1C0F27C2"/>
    <w:rsid w:val="1C927171"/>
    <w:rsid w:val="1CFC6399"/>
    <w:rsid w:val="1E214A6A"/>
    <w:rsid w:val="1E325A79"/>
    <w:rsid w:val="207E2598"/>
    <w:rsid w:val="2268170C"/>
    <w:rsid w:val="23B87C1E"/>
    <w:rsid w:val="23CF4DAC"/>
    <w:rsid w:val="23D706A0"/>
    <w:rsid w:val="252C160A"/>
    <w:rsid w:val="2543712E"/>
    <w:rsid w:val="26115FA6"/>
    <w:rsid w:val="2612207B"/>
    <w:rsid w:val="261D43FF"/>
    <w:rsid w:val="263C4B36"/>
    <w:rsid w:val="274F3CF5"/>
    <w:rsid w:val="27FA6822"/>
    <w:rsid w:val="29211DC2"/>
    <w:rsid w:val="29912488"/>
    <w:rsid w:val="2AD73080"/>
    <w:rsid w:val="2B7727A3"/>
    <w:rsid w:val="2BAC1E16"/>
    <w:rsid w:val="2D1057CD"/>
    <w:rsid w:val="2F3404F1"/>
    <w:rsid w:val="31224929"/>
    <w:rsid w:val="31A67308"/>
    <w:rsid w:val="31E7066F"/>
    <w:rsid w:val="32C65BB7"/>
    <w:rsid w:val="339B7340"/>
    <w:rsid w:val="357145E5"/>
    <w:rsid w:val="35AD5109"/>
    <w:rsid w:val="35B71AE4"/>
    <w:rsid w:val="35FD3326"/>
    <w:rsid w:val="366773B9"/>
    <w:rsid w:val="37E579FF"/>
    <w:rsid w:val="380C1FE4"/>
    <w:rsid w:val="3A493D62"/>
    <w:rsid w:val="3A5F39A1"/>
    <w:rsid w:val="3AE834C3"/>
    <w:rsid w:val="3F75077F"/>
    <w:rsid w:val="40DE6ABE"/>
    <w:rsid w:val="41497B44"/>
    <w:rsid w:val="42224789"/>
    <w:rsid w:val="42697DCC"/>
    <w:rsid w:val="437C0B54"/>
    <w:rsid w:val="445F784F"/>
    <w:rsid w:val="450A62D9"/>
    <w:rsid w:val="45592DB7"/>
    <w:rsid w:val="46B95A9D"/>
    <w:rsid w:val="494D47E1"/>
    <w:rsid w:val="496A0C18"/>
    <w:rsid w:val="4AC26B09"/>
    <w:rsid w:val="4BF5327E"/>
    <w:rsid w:val="4C0120D1"/>
    <w:rsid w:val="4D445374"/>
    <w:rsid w:val="51BE275F"/>
    <w:rsid w:val="523F4825"/>
    <w:rsid w:val="52642B8F"/>
    <w:rsid w:val="53394EAC"/>
    <w:rsid w:val="535D7D17"/>
    <w:rsid w:val="5482749A"/>
    <w:rsid w:val="556F1F83"/>
    <w:rsid w:val="55F61D5C"/>
    <w:rsid w:val="564E4BDD"/>
    <w:rsid w:val="59842B5C"/>
    <w:rsid w:val="59D04599"/>
    <w:rsid w:val="5B966CAA"/>
    <w:rsid w:val="5BCB5F5E"/>
    <w:rsid w:val="5D467A6D"/>
    <w:rsid w:val="5DAE6C56"/>
    <w:rsid w:val="638506B8"/>
    <w:rsid w:val="63B906FD"/>
    <w:rsid w:val="63CB65D6"/>
    <w:rsid w:val="63F96018"/>
    <w:rsid w:val="646211AB"/>
    <w:rsid w:val="648C02E6"/>
    <w:rsid w:val="65785BCE"/>
    <w:rsid w:val="66F61BBC"/>
    <w:rsid w:val="67D22629"/>
    <w:rsid w:val="684C5743"/>
    <w:rsid w:val="685C6B79"/>
    <w:rsid w:val="68B43ADD"/>
    <w:rsid w:val="68F760C0"/>
    <w:rsid w:val="692F68D3"/>
    <w:rsid w:val="697D65C5"/>
    <w:rsid w:val="69BC5ECF"/>
    <w:rsid w:val="6A4B66C3"/>
    <w:rsid w:val="6CEB1FD8"/>
    <w:rsid w:val="6CF140DC"/>
    <w:rsid w:val="71512AF5"/>
    <w:rsid w:val="71A566B9"/>
    <w:rsid w:val="73B40E35"/>
    <w:rsid w:val="74D11D9B"/>
    <w:rsid w:val="7533222E"/>
    <w:rsid w:val="770A2870"/>
    <w:rsid w:val="78FF0DA4"/>
    <w:rsid w:val="79814984"/>
    <w:rsid w:val="7A293BFF"/>
    <w:rsid w:val="7A294F7E"/>
    <w:rsid w:val="7AA40DEA"/>
    <w:rsid w:val="7AA905DC"/>
    <w:rsid w:val="7BB427CE"/>
    <w:rsid w:val="7C791690"/>
    <w:rsid w:val="7CE22F50"/>
    <w:rsid w:val="7D814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rPr>
      <w:kern w:val="0"/>
      <w:sz w:val="20"/>
    </w:rPr>
  </w:style>
  <w:style w:type="paragraph" w:styleId="6">
    <w:name w:val="Body Text 3"/>
    <w:basedOn w:val="1"/>
    <w:qFormat/>
    <w:uiPriority w:val="0"/>
    <w:pPr>
      <w:spacing w:after="120"/>
    </w:pPr>
    <w:rPr>
      <w:sz w:val="16"/>
      <w:szCs w:val="16"/>
    </w:rPr>
  </w:style>
  <w:style w:type="paragraph" w:styleId="7">
    <w:name w:val="Body Text Indent"/>
    <w:basedOn w:val="1"/>
    <w:qFormat/>
    <w:uiPriority w:val="0"/>
    <w:pPr>
      <w:adjustRightInd w:val="0"/>
      <w:snapToGrid w:val="0"/>
      <w:spacing w:line="500" w:lineRule="atLeast"/>
    </w:pPr>
    <w:rPr>
      <w:sz w:val="28"/>
      <w:szCs w:val="20"/>
    </w:rPr>
  </w:style>
  <w:style w:type="paragraph" w:styleId="8">
    <w:name w:val="Plain Text"/>
    <w:basedOn w:val="1"/>
    <w:link w:val="23"/>
    <w:qFormat/>
    <w:uiPriority w:val="0"/>
    <w:rPr>
      <w:rFonts w:ascii="宋体" w:hAnsi="Courier New" w:cs="Courier New"/>
      <w:szCs w:val="21"/>
    </w:rPr>
  </w:style>
  <w:style w:type="paragraph" w:styleId="9">
    <w:name w:val="Date"/>
    <w:basedOn w:val="1"/>
    <w:next w:val="1"/>
    <w:qFormat/>
    <w:uiPriority w:val="0"/>
    <w:pPr>
      <w:ind w:left="100"/>
    </w:pPr>
    <w:rPr>
      <w:sz w:val="24"/>
      <w:szCs w:val="20"/>
    </w:rPr>
  </w:style>
  <w:style w:type="paragraph" w:styleId="10">
    <w:name w:val="Body Text Indent 2"/>
    <w:basedOn w:val="1"/>
    <w:qFormat/>
    <w:uiPriority w:val="0"/>
    <w:pPr>
      <w:spacing w:line="500" w:lineRule="exact"/>
      <w:ind w:left="105" w:firstLine="465" w:firstLineChars="166"/>
    </w:pPr>
    <w:rPr>
      <w:kern w:val="0"/>
      <w:sz w:val="28"/>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Char Char"/>
    <w:basedOn w:val="1"/>
    <w:qFormat/>
    <w:uiPriority w:val="0"/>
    <w:rPr>
      <w:rFonts w:ascii="仿宋_GB2312" w:eastAsia="仿宋_GB2312"/>
      <w:b/>
      <w:sz w:val="32"/>
      <w:szCs w:val="32"/>
    </w:rPr>
  </w:style>
  <w:style w:type="character" w:customStyle="1" w:styleId="20">
    <w:name w:val="Anrede1IhrZeichen"/>
    <w:basedOn w:val="17"/>
    <w:qFormat/>
    <w:uiPriority w:val="0"/>
    <w:rPr>
      <w:rFonts w:ascii="Arial" w:hAnsi="Arial"/>
      <w:sz w:val="20"/>
    </w:rPr>
  </w:style>
  <w:style w:type="paragraph" w:customStyle="1" w:styleId="21">
    <w:name w:val="H-TextFormat"/>
    <w:next w:val="1"/>
    <w:link w:val="22"/>
    <w:qFormat/>
    <w:uiPriority w:val="0"/>
    <w:pPr>
      <w:widowControl w:val="0"/>
      <w:autoSpaceDE w:val="0"/>
      <w:autoSpaceDN w:val="0"/>
      <w:adjustRightInd w:val="0"/>
    </w:pPr>
    <w:rPr>
      <w:rFonts w:ascii="Arial" w:hAnsi="Arial" w:eastAsia="宋体" w:cs="Arial"/>
      <w:color w:val="000000"/>
      <w:sz w:val="22"/>
      <w:szCs w:val="22"/>
      <w:u w:color="000000"/>
      <w:lang w:val="en-US" w:eastAsia="zh-CN" w:bidi="ar-SA"/>
    </w:rPr>
  </w:style>
  <w:style w:type="character" w:customStyle="1" w:styleId="22">
    <w:name w:val="H-TextFormat Char"/>
    <w:basedOn w:val="17"/>
    <w:link w:val="21"/>
    <w:qFormat/>
    <w:uiPriority w:val="0"/>
    <w:rPr>
      <w:rFonts w:ascii="Arial" w:hAnsi="Arial" w:eastAsia="宋体" w:cs="Arial"/>
      <w:color w:val="000000"/>
      <w:sz w:val="22"/>
      <w:szCs w:val="22"/>
      <w:u w:color="000000"/>
      <w:lang w:val="en-US" w:eastAsia="zh-CN" w:bidi="ar-SA"/>
    </w:rPr>
  </w:style>
  <w:style w:type="character" w:customStyle="1" w:styleId="23">
    <w:name w:val="纯文本 字符"/>
    <w:basedOn w:val="17"/>
    <w:link w:val="8"/>
    <w:qFormat/>
    <w:uiPriority w:val="0"/>
    <w:rPr>
      <w:rFonts w:ascii="宋体" w:hAnsi="Courier New" w:eastAsia="宋体" w:cs="Courier New"/>
      <w:kern w:val="2"/>
      <w:sz w:val="21"/>
      <w:szCs w:val="21"/>
      <w:lang w:val="en-US" w:eastAsia="zh-CN" w:bidi="ar-SA"/>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ccf</Company>
  <Pages>7</Pages>
  <Words>3596</Words>
  <Characters>3997</Characters>
  <Lines>18</Lines>
  <Paragraphs>5</Paragraphs>
  <TotalTime>40</TotalTime>
  <ScaleCrop>false</ScaleCrop>
  <LinksUpToDate>false</LinksUpToDate>
  <CharactersWithSpaces>4015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2025-04-02T06:12:00Z</dcterms:created>
  <dc:creator>FreeUser</dc:creator>
  <cp:keywords>C_Unrestricted</cp:keywords>
  <cp:lastModifiedBy>风铃</cp:lastModifiedBy>
  <cp:lastPrinted>2019-11-06T09:07:00Z</cp:lastPrinted>
  <dcterms:modified xsi:type="dcterms:W3CDTF">2026-03-21T00:29:38Z</dcterms:modified>
  <dc:title>单一来源采购文件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KSOProductBuildVer">
    <vt:lpwstr>2052-12.1.0.25225</vt:lpwstr>
  </property>
  <property fmtid="{D5CDD505-2E9C-101B-9397-08002B2CF9AE}" pid="4" name="ICV">
    <vt:lpwstr>60CB1BCA89564071A754509DADA31A4A_13</vt:lpwstr>
  </property>
  <property fmtid="{D5CDD505-2E9C-101B-9397-08002B2CF9AE}" pid="5" name="KSOTemplateDocerSaveRecord">
    <vt:lpwstr>eyJoZGlkIjoiMDMzNTEzMThhNDk3YjczMDc1MDJjYjMwOTcwZmI5ZWYiLCJ1c2VySWQiOiIzODE4NDQyNDMifQ==</vt:lpwstr>
  </property>
</Properties>
</file>